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94F6" w14:textId="77777777" w:rsidR="00A606EC" w:rsidRPr="001908EE" w:rsidRDefault="00BC1529" w:rsidP="00635979">
      <w:pPr>
        <w:pStyle w:val="Title"/>
        <w:rPr>
          <w:sz w:val="50"/>
          <w:szCs w:val="50"/>
          <w:lang w:val="en-US"/>
        </w:rPr>
      </w:pPr>
      <w:bookmarkStart w:id="0" w:name="_wd69tzx7emcd" w:colFirst="0" w:colLast="0"/>
      <w:bookmarkEnd w:id="0"/>
      <w:r w:rsidRPr="001908EE">
        <w:rPr>
          <w:sz w:val="50"/>
          <w:szCs w:val="50"/>
          <w:lang w:val="en-US"/>
        </w:rPr>
        <w:t>Evidence of Effectiveness</w:t>
      </w:r>
    </w:p>
    <w:p w14:paraId="73676806" w14:textId="1C2CD406" w:rsidR="00292E23" w:rsidRPr="001908EE" w:rsidRDefault="00BC1529" w:rsidP="00BB6B0C">
      <w:pPr>
        <w:rPr>
          <w:lang w:val="en-US"/>
        </w:rPr>
      </w:pPr>
      <w:r w:rsidRPr="001908EE">
        <w:rPr>
          <w:lang w:val="en-US"/>
        </w:rPr>
        <w:t xml:space="preserve">Edgenuity’s suite of </w:t>
      </w:r>
      <w:r w:rsidR="00922F56" w:rsidRPr="001908EE">
        <w:rPr>
          <w:lang w:val="en-US"/>
        </w:rPr>
        <w:t xml:space="preserve">research-based </w:t>
      </w:r>
      <w:r w:rsidRPr="001908EE">
        <w:rPr>
          <w:lang w:val="en-US"/>
        </w:rPr>
        <w:t xml:space="preserve">online </w:t>
      </w:r>
      <w:r w:rsidR="00922F56" w:rsidRPr="001908EE">
        <w:rPr>
          <w:lang w:val="en-US"/>
        </w:rPr>
        <w:t>courses are generating positive student outcomes across the country.</w:t>
      </w:r>
      <w:r w:rsidR="00A301A7" w:rsidRPr="001908EE">
        <w:rPr>
          <w:lang w:val="en-US"/>
        </w:rPr>
        <w:t xml:space="preserve"> </w:t>
      </w:r>
      <w:r w:rsidRPr="001908EE">
        <w:rPr>
          <w:lang w:val="en-US"/>
        </w:rPr>
        <w:t xml:space="preserve">Below is a summary of efficacy research for </w:t>
      </w:r>
      <w:r w:rsidR="00DD3CCB" w:rsidRPr="001908EE">
        <w:rPr>
          <w:lang w:val="en-US"/>
        </w:rPr>
        <w:t>Edgenuity</w:t>
      </w:r>
      <w:r w:rsidR="00760FF6" w:rsidRPr="001908EE">
        <w:rPr>
          <w:lang w:val="en-US"/>
        </w:rPr>
        <w:t xml:space="preserve"> solutions</w:t>
      </w:r>
      <w:r w:rsidRPr="001908EE">
        <w:rPr>
          <w:lang w:val="en-US"/>
        </w:rPr>
        <w:t>.</w:t>
      </w:r>
    </w:p>
    <w:p w14:paraId="610E9308" w14:textId="77777777" w:rsidR="00F91A82" w:rsidRPr="001908EE" w:rsidRDefault="00F91A82" w:rsidP="00BB6B0C">
      <w:pPr>
        <w:rPr>
          <w:lang w:val="en-US"/>
        </w:rPr>
      </w:pPr>
    </w:p>
    <w:p w14:paraId="072B86A2" w14:textId="77777777" w:rsidR="00292E23" w:rsidRPr="001908EE" w:rsidRDefault="00292E23" w:rsidP="0029349E">
      <w:pPr>
        <w:rPr>
          <w:b/>
          <w:color w:val="2E3192" w:themeColor="text2"/>
          <w:sz w:val="28"/>
          <w:szCs w:val="28"/>
          <w:lang w:val="en-US"/>
        </w:rPr>
      </w:pPr>
      <w:bookmarkStart w:id="1" w:name="_Toc525208209"/>
      <w:bookmarkStart w:id="2" w:name="_Toc525221129"/>
      <w:r w:rsidRPr="001908EE">
        <w:rPr>
          <w:b/>
          <w:color w:val="2E3192" w:themeColor="text2"/>
          <w:sz w:val="28"/>
          <w:szCs w:val="28"/>
          <w:lang w:val="en-US"/>
        </w:rPr>
        <w:t>Table of Contents</w:t>
      </w:r>
      <w:bookmarkEnd w:id="1"/>
      <w:bookmarkEnd w:id="2"/>
    </w:p>
    <w:bookmarkStart w:id="3" w:name="_khk96ai8jxfc" w:colFirst="0" w:colLast="0"/>
    <w:bookmarkEnd w:id="3"/>
    <w:p w14:paraId="3B72436C" w14:textId="6B6A1985" w:rsidR="001874A5" w:rsidRPr="001874A5" w:rsidRDefault="00292E23">
      <w:pPr>
        <w:pStyle w:val="TOC1"/>
        <w:tabs>
          <w:tab w:val="right" w:leader="dot" w:pos="10790"/>
        </w:tabs>
        <w:rPr>
          <w:rFonts w:ascii="Arial Narrow" w:eastAsiaTheme="minorEastAsia" w:hAnsi="Arial Narrow" w:cstheme="minorBidi"/>
          <w:b w:val="0"/>
          <w:bCs w:val="0"/>
          <w:noProof/>
          <w:sz w:val="22"/>
          <w:szCs w:val="22"/>
          <w:lang w:val="en-US"/>
        </w:rPr>
      </w:pPr>
      <w:r w:rsidRPr="001874A5">
        <w:rPr>
          <w:rFonts w:ascii="Arial Narrow" w:hAnsi="Arial Narrow"/>
          <w:b w:val="0"/>
          <w:bCs w:val="0"/>
          <w:sz w:val="22"/>
          <w:szCs w:val="22"/>
          <w:lang w:val="en-US"/>
        </w:rPr>
        <w:fldChar w:fldCharType="begin"/>
      </w:r>
      <w:r w:rsidRPr="001874A5">
        <w:rPr>
          <w:rFonts w:ascii="Arial Narrow" w:hAnsi="Arial Narrow"/>
          <w:b w:val="0"/>
          <w:bCs w:val="0"/>
          <w:sz w:val="22"/>
          <w:szCs w:val="22"/>
          <w:lang w:val="en-US"/>
        </w:rPr>
        <w:instrText xml:space="preserve"> TOC \o "1-2" \h \z \u </w:instrText>
      </w:r>
      <w:r w:rsidRPr="001874A5">
        <w:rPr>
          <w:rFonts w:ascii="Arial Narrow" w:hAnsi="Arial Narrow"/>
          <w:b w:val="0"/>
          <w:bCs w:val="0"/>
          <w:sz w:val="22"/>
          <w:szCs w:val="22"/>
          <w:lang w:val="en-US"/>
        </w:rPr>
        <w:fldChar w:fldCharType="separate"/>
      </w:r>
      <w:hyperlink w:anchor="_Toc19177043" w:history="1">
        <w:r w:rsidR="001874A5" w:rsidRPr="001874A5">
          <w:rPr>
            <w:rStyle w:val="Hyperlink"/>
            <w:rFonts w:ascii="Arial Narrow" w:hAnsi="Arial Narrow"/>
            <w:noProof/>
            <w:lang w:val="en-US"/>
          </w:rPr>
          <w:t>Courseware</w:t>
        </w:r>
        <w:r w:rsidR="001874A5" w:rsidRPr="001874A5">
          <w:rPr>
            <w:rStyle w:val="Hyperlink"/>
            <w:rFonts w:ascii="Arial Narrow" w:hAnsi="Arial Narrow"/>
            <w:noProof/>
            <w:vertAlign w:val="superscript"/>
            <w:lang w:val="en-US"/>
          </w:rPr>
          <w:t>®</w:t>
        </w:r>
        <w:r w:rsidR="001874A5" w:rsidRPr="001874A5">
          <w:rPr>
            <w:rStyle w:val="Hyperlink"/>
            <w:rFonts w:ascii="Arial Narrow" w:hAnsi="Arial Narrow"/>
            <w:noProof/>
            <w:lang w:val="en-US"/>
          </w:rPr>
          <w:t xml:space="preserve"> 6–12</w:t>
        </w:r>
        <w:r w:rsidR="001874A5" w:rsidRPr="001874A5">
          <w:rPr>
            <w:rFonts w:ascii="Arial Narrow" w:hAnsi="Arial Narrow"/>
            <w:noProof/>
            <w:webHidden/>
          </w:rPr>
          <w:tab/>
        </w:r>
        <w:r w:rsidR="001874A5" w:rsidRPr="001874A5">
          <w:rPr>
            <w:rFonts w:ascii="Arial Narrow" w:hAnsi="Arial Narrow"/>
            <w:noProof/>
            <w:webHidden/>
          </w:rPr>
          <w:fldChar w:fldCharType="begin"/>
        </w:r>
        <w:r w:rsidR="001874A5" w:rsidRPr="001874A5">
          <w:rPr>
            <w:rFonts w:ascii="Arial Narrow" w:hAnsi="Arial Narrow"/>
            <w:noProof/>
            <w:webHidden/>
          </w:rPr>
          <w:instrText xml:space="preserve"> PAGEREF _Toc19177043 \h </w:instrText>
        </w:r>
        <w:r w:rsidR="001874A5" w:rsidRPr="001874A5">
          <w:rPr>
            <w:rFonts w:ascii="Arial Narrow" w:hAnsi="Arial Narrow"/>
            <w:noProof/>
            <w:webHidden/>
          </w:rPr>
        </w:r>
        <w:r w:rsidR="001874A5" w:rsidRPr="001874A5">
          <w:rPr>
            <w:rFonts w:ascii="Arial Narrow" w:hAnsi="Arial Narrow"/>
            <w:noProof/>
            <w:webHidden/>
          </w:rPr>
          <w:fldChar w:fldCharType="separate"/>
        </w:r>
        <w:r w:rsidR="0083253B">
          <w:rPr>
            <w:rFonts w:ascii="Arial Narrow" w:hAnsi="Arial Narrow"/>
            <w:noProof/>
            <w:webHidden/>
          </w:rPr>
          <w:t>2</w:t>
        </w:r>
        <w:r w:rsidR="001874A5" w:rsidRPr="001874A5">
          <w:rPr>
            <w:rFonts w:ascii="Arial Narrow" w:hAnsi="Arial Narrow"/>
            <w:noProof/>
            <w:webHidden/>
          </w:rPr>
          <w:fldChar w:fldCharType="end"/>
        </w:r>
      </w:hyperlink>
    </w:p>
    <w:p w14:paraId="29916A7D" w14:textId="77CEC7A7"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44" w:history="1">
        <w:r w:rsidR="001874A5" w:rsidRPr="001874A5">
          <w:rPr>
            <w:rStyle w:val="Hyperlink"/>
            <w:rFonts w:ascii="Arial Narrow" w:hAnsi="Arial Narrow"/>
            <w:i w:val="0"/>
            <w:noProof/>
            <w:lang w:val="en-US"/>
          </w:rPr>
          <w:t>Altamont High School, Utah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_Toc19177044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2</w:t>
        </w:r>
        <w:r w:rsidR="001874A5" w:rsidRPr="001874A5">
          <w:rPr>
            <w:rFonts w:ascii="Arial Narrow" w:hAnsi="Arial Narrow"/>
            <w:i w:val="0"/>
            <w:noProof/>
            <w:webHidden/>
          </w:rPr>
          <w:fldChar w:fldCharType="end"/>
        </w:r>
      </w:hyperlink>
    </w:p>
    <w:p w14:paraId="4AAF1899" w14:textId="361C9B4F"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45" w:history="1">
        <w:r w:rsidR="001874A5" w:rsidRPr="001874A5">
          <w:rPr>
            <w:rStyle w:val="Hyperlink"/>
            <w:rFonts w:ascii="Arial Narrow" w:hAnsi="Arial Narrow"/>
            <w:i w:val="0"/>
            <w:noProof/>
            <w:lang w:val="en-US"/>
          </w:rPr>
          <w:t>Appleton Central High School, Wisconsin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_Toc19177045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2</w:t>
        </w:r>
        <w:r w:rsidR="001874A5" w:rsidRPr="001874A5">
          <w:rPr>
            <w:rFonts w:ascii="Arial Narrow" w:hAnsi="Arial Narrow"/>
            <w:i w:val="0"/>
            <w:noProof/>
            <w:webHidden/>
          </w:rPr>
          <w:fldChar w:fldCharType="end"/>
        </w:r>
      </w:hyperlink>
    </w:p>
    <w:p w14:paraId="3A4F8198" w14:textId="64D8BE87"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46" w:history="1">
        <w:r w:rsidR="001874A5" w:rsidRPr="001874A5">
          <w:rPr>
            <w:rStyle w:val="Hyperlink"/>
            <w:rFonts w:ascii="Arial Narrow" w:hAnsi="Arial Narrow"/>
            <w:i w:val="0"/>
            <w:noProof/>
            <w:lang w:val="en-US"/>
          </w:rPr>
          <w:t>Bald Eagle High School, Pennsylvania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_Toc19177046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3</w:t>
        </w:r>
        <w:r w:rsidR="001874A5" w:rsidRPr="001874A5">
          <w:rPr>
            <w:rFonts w:ascii="Arial Narrow" w:hAnsi="Arial Narrow"/>
            <w:i w:val="0"/>
            <w:noProof/>
            <w:webHidden/>
          </w:rPr>
          <w:fldChar w:fldCharType="end"/>
        </w:r>
      </w:hyperlink>
    </w:p>
    <w:p w14:paraId="172B8029" w14:textId="04361743"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47" w:history="1">
        <w:r w:rsidR="001874A5" w:rsidRPr="001874A5">
          <w:rPr>
            <w:rStyle w:val="Hyperlink"/>
            <w:rFonts w:ascii="Arial Narrow" w:hAnsi="Arial Narrow"/>
            <w:i w:val="0"/>
            <w:noProof/>
            <w:lang w:val="en-US"/>
          </w:rPr>
          <w:t>Classical Academies, California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_Toc19177047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3</w:t>
        </w:r>
        <w:r w:rsidR="001874A5" w:rsidRPr="001874A5">
          <w:rPr>
            <w:rFonts w:ascii="Arial Narrow" w:hAnsi="Arial Narrow"/>
            <w:i w:val="0"/>
            <w:noProof/>
            <w:webHidden/>
          </w:rPr>
          <w:fldChar w:fldCharType="end"/>
        </w:r>
      </w:hyperlink>
    </w:p>
    <w:p w14:paraId="7AE0537F" w14:textId="6EA8219C"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48" w:history="1">
        <w:r w:rsidR="001874A5" w:rsidRPr="001874A5">
          <w:rPr>
            <w:rStyle w:val="Hyperlink"/>
            <w:rFonts w:ascii="Arial Narrow" w:hAnsi="Arial Narrow"/>
            <w:i w:val="0"/>
            <w:noProof/>
            <w:lang w:val="en-US"/>
          </w:rPr>
          <w:t>Copper River School District, Alaska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_Toc19177048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4</w:t>
        </w:r>
        <w:r w:rsidR="001874A5" w:rsidRPr="001874A5">
          <w:rPr>
            <w:rFonts w:ascii="Arial Narrow" w:hAnsi="Arial Narrow"/>
            <w:i w:val="0"/>
            <w:noProof/>
            <w:webHidden/>
          </w:rPr>
          <w:fldChar w:fldCharType="end"/>
        </w:r>
      </w:hyperlink>
    </w:p>
    <w:p w14:paraId="0AF02E98" w14:textId="4ADA5EC4"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49" w:history="1">
        <w:r w:rsidR="001874A5" w:rsidRPr="001874A5">
          <w:rPr>
            <w:rStyle w:val="Hyperlink"/>
            <w:rFonts w:ascii="Arial Narrow" w:hAnsi="Arial Narrow"/>
            <w:i w:val="0"/>
            <w:noProof/>
            <w:lang w:val="en-US"/>
          </w:rPr>
          <w:t>Cypress-Fairbanks Independent School District, Texas (Level 2)</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_Toc19177049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5</w:t>
        </w:r>
        <w:r w:rsidR="001874A5" w:rsidRPr="001874A5">
          <w:rPr>
            <w:rFonts w:ascii="Arial Narrow" w:hAnsi="Arial Narrow"/>
            <w:i w:val="0"/>
            <w:noProof/>
            <w:webHidden/>
          </w:rPr>
          <w:fldChar w:fldCharType="end"/>
        </w:r>
      </w:hyperlink>
    </w:p>
    <w:p w14:paraId="3B382FA5" w14:textId="766A1844"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50" w:history="1">
        <w:r w:rsidR="001874A5" w:rsidRPr="001874A5">
          <w:rPr>
            <w:rStyle w:val="Hyperlink"/>
            <w:rFonts w:ascii="Arial Narrow" w:hAnsi="Arial Narrow"/>
            <w:i w:val="0"/>
            <w:noProof/>
            <w:lang w:val="en-US"/>
          </w:rPr>
          <w:t>Dearborn Public Schools, Michigan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_Toc19177050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5</w:t>
        </w:r>
        <w:r w:rsidR="001874A5" w:rsidRPr="001874A5">
          <w:rPr>
            <w:rFonts w:ascii="Arial Narrow" w:hAnsi="Arial Narrow"/>
            <w:i w:val="0"/>
            <w:noProof/>
            <w:webHidden/>
          </w:rPr>
          <w:fldChar w:fldCharType="end"/>
        </w:r>
      </w:hyperlink>
    </w:p>
    <w:p w14:paraId="7588B025" w14:textId="6DD205B8"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51" w:history="1">
        <w:r w:rsidR="001874A5" w:rsidRPr="001874A5">
          <w:rPr>
            <w:rStyle w:val="Hyperlink"/>
            <w:rFonts w:ascii="Arial Narrow" w:hAnsi="Arial Narrow"/>
            <w:i w:val="0"/>
            <w:noProof/>
            <w:lang w:val="en-US"/>
          </w:rPr>
          <w:t>Dickinson Independent School District, Texas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_Toc19177051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5</w:t>
        </w:r>
        <w:r w:rsidR="001874A5" w:rsidRPr="001874A5">
          <w:rPr>
            <w:rFonts w:ascii="Arial Narrow" w:hAnsi="Arial Narrow"/>
            <w:i w:val="0"/>
            <w:noProof/>
            <w:webHidden/>
          </w:rPr>
          <w:fldChar w:fldCharType="end"/>
        </w:r>
      </w:hyperlink>
    </w:p>
    <w:p w14:paraId="17DA682A" w14:textId="4BDDAEA1"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52" w:history="1">
        <w:r w:rsidR="001874A5" w:rsidRPr="001874A5">
          <w:rPr>
            <w:rStyle w:val="Hyperlink"/>
            <w:rFonts w:ascii="Arial Narrow" w:hAnsi="Arial Narrow"/>
            <w:i w:val="0"/>
            <w:noProof/>
            <w:lang w:val="en-US"/>
          </w:rPr>
          <w:t>Graduation Solutions, LLC, Arizona (Level 3)</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_Toc19177052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6</w:t>
        </w:r>
        <w:r w:rsidR="001874A5" w:rsidRPr="001874A5">
          <w:rPr>
            <w:rFonts w:ascii="Arial Narrow" w:hAnsi="Arial Narrow"/>
            <w:i w:val="0"/>
            <w:noProof/>
            <w:webHidden/>
          </w:rPr>
          <w:fldChar w:fldCharType="end"/>
        </w:r>
      </w:hyperlink>
    </w:p>
    <w:p w14:paraId="30DADC50" w14:textId="0BBA7027"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53" w:history="1">
        <w:r w:rsidR="001874A5" w:rsidRPr="001874A5">
          <w:rPr>
            <w:rStyle w:val="Hyperlink"/>
            <w:rFonts w:ascii="Arial Narrow" w:hAnsi="Arial Narrow"/>
            <w:i w:val="0"/>
            <w:noProof/>
            <w:lang w:val="en-US"/>
          </w:rPr>
          <w:t>Houston Independent School District, Texas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_Toc19177053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6</w:t>
        </w:r>
        <w:r w:rsidR="001874A5" w:rsidRPr="001874A5">
          <w:rPr>
            <w:rFonts w:ascii="Arial Narrow" w:hAnsi="Arial Narrow"/>
            <w:i w:val="0"/>
            <w:noProof/>
            <w:webHidden/>
          </w:rPr>
          <w:fldChar w:fldCharType="end"/>
        </w:r>
      </w:hyperlink>
    </w:p>
    <w:p w14:paraId="5742C6B9" w14:textId="0D0327F2"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54" w:history="1">
        <w:r w:rsidR="001874A5" w:rsidRPr="001874A5">
          <w:rPr>
            <w:rStyle w:val="Hyperlink"/>
            <w:rFonts w:ascii="Arial Narrow" w:hAnsi="Arial Narrow"/>
            <w:i w:val="0"/>
            <w:noProof/>
            <w:lang w:val="en-US"/>
          </w:rPr>
          <w:t>Locust Grove Middle School, Georgia (Level 3)</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_Toc19177054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7</w:t>
        </w:r>
        <w:r w:rsidR="001874A5" w:rsidRPr="001874A5">
          <w:rPr>
            <w:rFonts w:ascii="Arial Narrow" w:hAnsi="Arial Narrow"/>
            <w:i w:val="0"/>
            <w:noProof/>
            <w:webHidden/>
          </w:rPr>
          <w:fldChar w:fldCharType="end"/>
        </w:r>
      </w:hyperlink>
    </w:p>
    <w:p w14:paraId="37CE82FF" w14:textId="43D00FEC"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55" w:history="1">
        <w:r w:rsidR="001874A5" w:rsidRPr="001874A5">
          <w:rPr>
            <w:rStyle w:val="Hyperlink"/>
            <w:rFonts w:ascii="Arial Narrow" w:hAnsi="Arial Narrow"/>
            <w:i w:val="0"/>
            <w:noProof/>
            <w:lang w:val="en-US"/>
          </w:rPr>
          <w:t>Pasadena Independent School District, Texas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_Toc19177055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8</w:t>
        </w:r>
        <w:r w:rsidR="001874A5" w:rsidRPr="001874A5">
          <w:rPr>
            <w:rFonts w:ascii="Arial Narrow" w:hAnsi="Arial Narrow"/>
            <w:i w:val="0"/>
            <w:noProof/>
            <w:webHidden/>
          </w:rPr>
          <w:fldChar w:fldCharType="end"/>
        </w:r>
      </w:hyperlink>
    </w:p>
    <w:p w14:paraId="088437AC" w14:textId="454E4CE8"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56" w:history="1">
        <w:r w:rsidR="001874A5" w:rsidRPr="001874A5">
          <w:rPr>
            <w:rStyle w:val="Hyperlink"/>
            <w:rFonts w:ascii="Arial Narrow" w:hAnsi="Arial Narrow"/>
            <w:i w:val="0"/>
            <w:noProof/>
            <w:lang w:val="en-US"/>
          </w:rPr>
          <w:t>Putnam County Schools, Tennessee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_Toc19177056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8</w:t>
        </w:r>
        <w:r w:rsidR="001874A5" w:rsidRPr="001874A5">
          <w:rPr>
            <w:rFonts w:ascii="Arial Narrow" w:hAnsi="Arial Narrow"/>
            <w:i w:val="0"/>
            <w:noProof/>
            <w:webHidden/>
          </w:rPr>
          <w:fldChar w:fldCharType="end"/>
        </w:r>
      </w:hyperlink>
    </w:p>
    <w:p w14:paraId="53587C74" w14:textId="5F2DA734"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57" w:history="1">
        <w:r w:rsidR="001874A5" w:rsidRPr="001874A5">
          <w:rPr>
            <w:rStyle w:val="Hyperlink"/>
            <w:rFonts w:ascii="Arial Narrow" w:hAnsi="Arial Narrow"/>
            <w:i w:val="0"/>
            <w:noProof/>
            <w:lang w:val="en-US"/>
          </w:rPr>
          <w:t>Rio Rancho Cyber Academy, New Mexico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_Toc19177057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8</w:t>
        </w:r>
        <w:r w:rsidR="001874A5" w:rsidRPr="001874A5">
          <w:rPr>
            <w:rFonts w:ascii="Arial Narrow" w:hAnsi="Arial Narrow"/>
            <w:i w:val="0"/>
            <w:noProof/>
            <w:webHidden/>
          </w:rPr>
          <w:fldChar w:fldCharType="end"/>
        </w:r>
      </w:hyperlink>
    </w:p>
    <w:p w14:paraId="04AB461C" w14:textId="589BC38F"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58" w:history="1">
        <w:r w:rsidR="001874A5" w:rsidRPr="001874A5">
          <w:rPr>
            <w:rStyle w:val="Hyperlink"/>
            <w:rFonts w:ascii="Arial Narrow" w:hAnsi="Arial Narrow"/>
            <w:i w:val="0"/>
            <w:noProof/>
            <w:lang w:val="en-US"/>
          </w:rPr>
          <w:t>Success Virtual Learning Centers, Michigan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_Toc19177058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9</w:t>
        </w:r>
        <w:r w:rsidR="001874A5" w:rsidRPr="001874A5">
          <w:rPr>
            <w:rFonts w:ascii="Arial Narrow" w:hAnsi="Arial Narrow"/>
            <w:i w:val="0"/>
            <w:noProof/>
            <w:webHidden/>
          </w:rPr>
          <w:fldChar w:fldCharType="end"/>
        </w:r>
      </w:hyperlink>
    </w:p>
    <w:p w14:paraId="39AD5D17" w14:textId="094363A6"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59" w:history="1">
        <w:r w:rsidR="001874A5" w:rsidRPr="001874A5">
          <w:rPr>
            <w:rStyle w:val="Hyperlink"/>
            <w:rFonts w:ascii="Arial Narrow" w:hAnsi="Arial Narrow"/>
            <w:i w:val="0"/>
            <w:noProof/>
            <w:lang w:val="en-US"/>
          </w:rPr>
          <w:t>Taos Academy Charter School, New Mexico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_Toc19177059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10</w:t>
        </w:r>
        <w:r w:rsidR="001874A5" w:rsidRPr="001874A5">
          <w:rPr>
            <w:rFonts w:ascii="Arial Narrow" w:hAnsi="Arial Narrow"/>
            <w:i w:val="0"/>
            <w:noProof/>
            <w:webHidden/>
          </w:rPr>
          <w:fldChar w:fldCharType="end"/>
        </w:r>
      </w:hyperlink>
    </w:p>
    <w:p w14:paraId="4AD908AE" w14:textId="759C7FDC"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60" w:history="1">
        <w:r w:rsidR="001874A5" w:rsidRPr="001874A5">
          <w:rPr>
            <w:rStyle w:val="Hyperlink"/>
            <w:rFonts w:ascii="Arial Narrow" w:hAnsi="Arial Narrow"/>
            <w:i w:val="0"/>
            <w:noProof/>
            <w:lang w:val="en-US"/>
          </w:rPr>
          <w:t>Utah Online, Utah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_Toc19177060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10</w:t>
        </w:r>
        <w:r w:rsidR="001874A5" w:rsidRPr="001874A5">
          <w:rPr>
            <w:rFonts w:ascii="Arial Narrow" w:hAnsi="Arial Narrow"/>
            <w:i w:val="0"/>
            <w:noProof/>
            <w:webHidden/>
          </w:rPr>
          <w:fldChar w:fldCharType="end"/>
        </w:r>
      </w:hyperlink>
    </w:p>
    <w:p w14:paraId="032EE670" w14:textId="525F006E"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61" w:history="1">
        <w:r w:rsidR="001874A5" w:rsidRPr="001874A5">
          <w:rPr>
            <w:rStyle w:val="Hyperlink"/>
            <w:rFonts w:ascii="Arial Narrow" w:hAnsi="Arial Narrow"/>
            <w:i w:val="0"/>
            <w:noProof/>
            <w:lang w:val="en-US"/>
          </w:rPr>
          <w:t>Vertus High School, New York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_Toc19177061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11</w:t>
        </w:r>
        <w:r w:rsidR="001874A5" w:rsidRPr="001874A5">
          <w:rPr>
            <w:rFonts w:ascii="Arial Narrow" w:hAnsi="Arial Narrow"/>
            <w:i w:val="0"/>
            <w:noProof/>
            <w:webHidden/>
          </w:rPr>
          <w:fldChar w:fldCharType="end"/>
        </w:r>
      </w:hyperlink>
    </w:p>
    <w:p w14:paraId="394B0764" w14:textId="32214868"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62" w:history="1">
        <w:r w:rsidR="001874A5" w:rsidRPr="001874A5">
          <w:rPr>
            <w:rStyle w:val="Hyperlink"/>
            <w:rFonts w:ascii="Arial Narrow" w:hAnsi="Arial Narrow"/>
            <w:i w:val="0"/>
            <w:noProof/>
            <w:lang w:val="en-US"/>
          </w:rPr>
          <w:t>Village Green Virt</w:t>
        </w:r>
        <w:r w:rsidR="001874A5" w:rsidRPr="001874A5">
          <w:rPr>
            <w:rStyle w:val="Hyperlink"/>
            <w:rFonts w:ascii="Arial Narrow" w:hAnsi="Arial Narrow"/>
            <w:i w:val="0"/>
            <w:noProof/>
            <w:lang w:val="en-US"/>
          </w:rPr>
          <w:t>u</w:t>
        </w:r>
        <w:r w:rsidR="001874A5" w:rsidRPr="001874A5">
          <w:rPr>
            <w:rStyle w:val="Hyperlink"/>
            <w:rFonts w:ascii="Arial Narrow" w:hAnsi="Arial Narrow"/>
            <w:i w:val="0"/>
            <w:noProof/>
            <w:lang w:val="en-US"/>
          </w:rPr>
          <w:t>al Charter School, Rhode Island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_Toc19177062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11</w:t>
        </w:r>
        <w:r w:rsidR="001874A5" w:rsidRPr="001874A5">
          <w:rPr>
            <w:rFonts w:ascii="Arial Narrow" w:hAnsi="Arial Narrow"/>
            <w:i w:val="0"/>
            <w:noProof/>
            <w:webHidden/>
          </w:rPr>
          <w:fldChar w:fldCharType="end"/>
        </w:r>
      </w:hyperlink>
    </w:p>
    <w:p w14:paraId="0E6763B8" w14:textId="3D909D7A" w:rsidR="001874A5" w:rsidRPr="001874A5" w:rsidRDefault="008B1B9E">
      <w:pPr>
        <w:pStyle w:val="TOC2"/>
        <w:tabs>
          <w:tab w:val="right" w:leader="dot" w:pos="10790"/>
        </w:tabs>
        <w:rPr>
          <w:rFonts w:ascii="Arial Narrow" w:eastAsiaTheme="minorEastAsia" w:hAnsi="Arial Narrow" w:cstheme="minorBidi"/>
          <w:i w:val="0"/>
          <w:iCs w:val="0"/>
          <w:noProof/>
          <w:sz w:val="22"/>
          <w:szCs w:val="22"/>
          <w:lang w:val="en-US"/>
        </w:rPr>
      </w:pPr>
      <w:hyperlink w:anchor="_Toc19177063" w:history="1">
        <w:r w:rsidR="001874A5" w:rsidRPr="001874A5">
          <w:rPr>
            <w:rStyle w:val="Hyperlink"/>
            <w:rFonts w:ascii="Arial Narrow" w:hAnsi="Arial Narrow"/>
            <w:i w:val="0"/>
            <w:noProof/>
            <w:lang w:val="en-US"/>
          </w:rPr>
          <w:t>Windsor High School, Connecticut (Level 4)</w:t>
        </w:r>
        <w:r w:rsidR="001874A5" w:rsidRPr="001874A5">
          <w:rPr>
            <w:rFonts w:ascii="Arial Narrow" w:hAnsi="Arial Narrow"/>
            <w:i w:val="0"/>
            <w:noProof/>
            <w:webHidden/>
          </w:rPr>
          <w:tab/>
        </w:r>
        <w:r w:rsidR="001874A5" w:rsidRPr="001874A5">
          <w:rPr>
            <w:rFonts w:ascii="Arial Narrow" w:hAnsi="Arial Narrow"/>
            <w:i w:val="0"/>
            <w:noProof/>
            <w:webHidden/>
          </w:rPr>
          <w:fldChar w:fldCharType="begin"/>
        </w:r>
        <w:r w:rsidR="001874A5" w:rsidRPr="001874A5">
          <w:rPr>
            <w:rFonts w:ascii="Arial Narrow" w:hAnsi="Arial Narrow"/>
            <w:i w:val="0"/>
            <w:noProof/>
            <w:webHidden/>
          </w:rPr>
          <w:instrText xml:space="preserve"> PAGEREF _Toc19177063 \h </w:instrText>
        </w:r>
        <w:r w:rsidR="001874A5" w:rsidRPr="001874A5">
          <w:rPr>
            <w:rFonts w:ascii="Arial Narrow" w:hAnsi="Arial Narrow"/>
            <w:i w:val="0"/>
            <w:noProof/>
            <w:webHidden/>
          </w:rPr>
        </w:r>
        <w:r w:rsidR="001874A5" w:rsidRPr="001874A5">
          <w:rPr>
            <w:rFonts w:ascii="Arial Narrow" w:hAnsi="Arial Narrow"/>
            <w:i w:val="0"/>
            <w:noProof/>
            <w:webHidden/>
          </w:rPr>
          <w:fldChar w:fldCharType="separate"/>
        </w:r>
        <w:r w:rsidR="0083253B">
          <w:rPr>
            <w:rFonts w:ascii="Arial Narrow" w:hAnsi="Arial Narrow"/>
            <w:i w:val="0"/>
            <w:noProof/>
            <w:webHidden/>
          </w:rPr>
          <w:t>13</w:t>
        </w:r>
        <w:r w:rsidR="001874A5" w:rsidRPr="001874A5">
          <w:rPr>
            <w:rFonts w:ascii="Arial Narrow" w:hAnsi="Arial Narrow"/>
            <w:i w:val="0"/>
            <w:noProof/>
            <w:webHidden/>
          </w:rPr>
          <w:fldChar w:fldCharType="end"/>
        </w:r>
      </w:hyperlink>
    </w:p>
    <w:p w14:paraId="49EDA128" w14:textId="38CA141C" w:rsidR="00C05B45" w:rsidRPr="001874A5" w:rsidRDefault="00292E23" w:rsidP="00BB6B0C">
      <w:pPr>
        <w:rPr>
          <w:rFonts w:ascii="Arial Narrow" w:hAnsi="Arial Narrow"/>
          <w:lang w:val="en-US"/>
        </w:rPr>
      </w:pPr>
      <w:r w:rsidRPr="001874A5">
        <w:rPr>
          <w:rFonts w:ascii="Arial Narrow" w:hAnsi="Arial Narrow"/>
          <w:b/>
          <w:bCs/>
          <w:lang w:val="en-US"/>
        </w:rPr>
        <w:fldChar w:fldCharType="end"/>
      </w:r>
      <w:r w:rsidR="00C05B45" w:rsidRPr="001874A5">
        <w:rPr>
          <w:rFonts w:ascii="Arial Narrow" w:hAnsi="Arial Narrow"/>
          <w:lang w:val="en-US"/>
        </w:rPr>
        <w:br w:type="page"/>
      </w:r>
    </w:p>
    <w:p w14:paraId="3C4C5585" w14:textId="6B6AAB37" w:rsidR="00A606EC" w:rsidRPr="001908EE" w:rsidRDefault="00BC1529" w:rsidP="0029349E">
      <w:pPr>
        <w:pStyle w:val="Heading1"/>
        <w:rPr>
          <w:lang w:val="en-US"/>
        </w:rPr>
      </w:pPr>
      <w:bookmarkStart w:id="4" w:name="_Toc19177043"/>
      <w:r w:rsidRPr="001908EE">
        <w:rPr>
          <w:lang w:val="en-US"/>
        </w:rPr>
        <w:lastRenderedPageBreak/>
        <w:t>Courseware</w:t>
      </w:r>
      <w:r w:rsidR="0099326F" w:rsidRPr="001908EE">
        <w:rPr>
          <w:vertAlign w:val="superscript"/>
          <w:lang w:val="en-US"/>
        </w:rPr>
        <w:t>®</w:t>
      </w:r>
      <w:r w:rsidRPr="001908EE">
        <w:rPr>
          <w:lang w:val="en-US"/>
        </w:rPr>
        <w:t xml:space="preserve"> 6</w:t>
      </w:r>
      <w:r w:rsidR="00951D21" w:rsidRPr="001908EE">
        <w:rPr>
          <w:lang w:val="en-US"/>
        </w:rPr>
        <w:t>–</w:t>
      </w:r>
      <w:r w:rsidRPr="001908EE">
        <w:rPr>
          <w:lang w:val="en-US"/>
        </w:rPr>
        <w:t>12</w:t>
      </w:r>
      <w:bookmarkEnd w:id="4"/>
    </w:p>
    <w:bookmarkStart w:id="5" w:name="_i5ma2jrg08j4" w:colFirst="0" w:colLast="0"/>
    <w:bookmarkEnd w:id="5"/>
    <w:p w14:paraId="5779AEEC" w14:textId="77777777" w:rsidR="00A606EC" w:rsidRPr="001908EE" w:rsidRDefault="00C05B45" w:rsidP="00496EC8">
      <w:pPr>
        <w:pStyle w:val="Heading2"/>
        <w:rPr>
          <w:lang w:val="en-US"/>
        </w:rPr>
      </w:pPr>
      <w:r w:rsidRPr="001908EE">
        <w:rPr>
          <w:lang w:val="en-US"/>
        </w:rPr>
        <w:fldChar w:fldCharType="begin"/>
      </w:r>
      <w:r w:rsidRPr="001908EE">
        <w:rPr>
          <w:lang w:val="en-US"/>
        </w:rPr>
        <w:instrText xml:space="preserve"> HYPERLINK "https://www.edgenuity.com/Case-Studies/Edgenuity-Case-Study-Altamont-Utah.pdf" </w:instrText>
      </w:r>
      <w:r w:rsidRPr="001908EE">
        <w:rPr>
          <w:lang w:val="en-US"/>
        </w:rPr>
        <w:fldChar w:fldCharType="separate"/>
      </w:r>
      <w:bookmarkStart w:id="6" w:name="_Toc19177044"/>
      <w:r w:rsidR="00BC1529" w:rsidRPr="001908EE">
        <w:rPr>
          <w:rStyle w:val="Hyperlink"/>
          <w:color w:val="2E7E9D" w:themeColor="accent2" w:themeShade="BF"/>
          <w:lang w:val="en-US"/>
        </w:rPr>
        <w:t>Altamont High School</w:t>
      </w:r>
      <w:r w:rsidRPr="001908EE">
        <w:rPr>
          <w:lang w:val="en-US"/>
        </w:rPr>
        <w:fldChar w:fldCharType="end"/>
      </w:r>
      <w:r w:rsidR="000B4542" w:rsidRPr="001908EE">
        <w:rPr>
          <w:lang w:val="en-US"/>
        </w:rPr>
        <w:t xml:space="preserve">, Utah </w:t>
      </w:r>
      <w:r w:rsidR="00B213CC" w:rsidRPr="001908EE">
        <w:rPr>
          <w:lang w:val="en-US"/>
        </w:rPr>
        <w:t>(Level 4)</w:t>
      </w:r>
      <w:bookmarkEnd w:id="6"/>
    </w:p>
    <w:p w14:paraId="72388B3E" w14:textId="77A4C516" w:rsidR="00A606EC" w:rsidRPr="001908EE" w:rsidRDefault="00BC1529" w:rsidP="00BB6B0C">
      <w:pPr>
        <w:rPr>
          <w:lang w:val="en-US"/>
        </w:rPr>
      </w:pPr>
      <w:r w:rsidRPr="001908EE">
        <w:rPr>
          <w:lang w:val="en-US"/>
        </w:rPr>
        <w:t xml:space="preserve">In fall 2014, </w:t>
      </w:r>
      <w:r w:rsidR="00362237" w:rsidRPr="001908EE">
        <w:rPr>
          <w:lang w:val="en-US"/>
        </w:rPr>
        <w:t>Altamont High School (</w:t>
      </w:r>
      <w:r w:rsidRPr="001908EE">
        <w:rPr>
          <w:lang w:val="en-US"/>
        </w:rPr>
        <w:t>AHS</w:t>
      </w:r>
      <w:r w:rsidR="00362237" w:rsidRPr="001908EE">
        <w:rPr>
          <w:lang w:val="en-US"/>
        </w:rPr>
        <w:t>)</w:t>
      </w:r>
      <w:r w:rsidRPr="001908EE">
        <w:rPr>
          <w:lang w:val="en-US"/>
        </w:rPr>
        <w:t xml:space="preserve"> set out to improve math achievement after 87 percent of high school students scored below the proficient level on the spring 2014 Student Assessment of Growth and Excellence (SAGE) math</w:t>
      </w:r>
      <w:r w:rsidR="00751498" w:rsidRPr="001908EE">
        <w:rPr>
          <w:lang w:val="en-US"/>
        </w:rPr>
        <w:t xml:space="preserve"> assessment</w:t>
      </w:r>
      <w:r w:rsidRPr="001908EE">
        <w:rPr>
          <w:lang w:val="en-US"/>
        </w:rPr>
        <w:t xml:space="preserve">. In fall 2015, the school enrolled all </w:t>
      </w:r>
      <w:r w:rsidR="00D26AA1" w:rsidRPr="001908EE">
        <w:rPr>
          <w:lang w:val="en-US"/>
        </w:rPr>
        <w:t xml:space="preserve">200 </w:t>
      </w:r>
      <w:r w:rsidRPr="001908EE">
        <w:rPr>
          <w:lang w:val="en-US"/>
        </w:rPr>
        <w:t>of its high school students in Edgenuity online math courses</w:t>
      </w:r>
      <w:r w:rsidR="00C05B45" w:rsidRPr="001908EE">
        <w:rPr>
          <w:lang w:val="en-US"/>
        </w:rPr>
        <w:t xml:space="preserve">. Students spent 70 minutes per day in the computer lab working on </w:t>
      </w:r>
      <w:r w:rsidR="00CA1D58" w:rsidRPr="001908EE">
        <w:rPr>
          <w:lang w:val="en-US"/>
        </w:rPr>
        <w:t>these</w:t>
      </w:r>
      <w:r w:rsidR="00C05B45" w:rsidRPr="001908EE">
        <w:rPr>
          <w:lang w:val="en-US"/>
        </w:rPr>
        <w:t xml:space="preserve"> courses</w:t>
      </w:r>
      <w:r w:rsidRPr="001908EE">
        <w:rPr>
          <w:lang w:val="en-US"/>
        </w:rPr>
        <w:t xml:space="preserve">. Edgenuity examined the SAGE </w:t>
      </w:r>
      <w:r w:rsidR="00362237" w:rsidRPr="001908EE">
        <w:rPr>
          <w:lang w:val="en-US"/>
        </w:rPr>
        <w:t>m</w:t>
      </w:r>
      <w:r w:rsidRPr="001908EE">
        <w:rPr>
          <w:lang w:val="en-US"/>
        </w:rPr>
        <w:t xml:space="preserve">ath performance of </w:t>
      </w:r>
      <w:r w:rsidR="00CA1D58" w:rsidRPr="001908EE">
        <w:rPr>
          <w:lang w:val="en-US"/>
        </w:rPr>
        <w:t xml:space="preserve">AHS </w:t>
      </w:r>
      <w:r w:rsidRPr="001908EE">
        <w:rPr>
          <w:lang w:val="en-US"/>
        </w:rPr>
        <w:t>9th, 10th, and 11th</w:t>
      </w:r>
      <w:r w:rsidR="00751498" w:rsidRPr="001908EE">
        <w:rPr>
          <w:lang w:val="en-US"/>
        </w:rPr>
        <w:t xml:space="preserve"> </w:t>
      </w:r>
      <w:r w:rsidRPr="001908EE">
        <w:rPr>
          <w:lang w:val="en-US"/>
        </w:rPr>
        <w:t xml:space="preserve">grade students enrolled in </w:t>
      </w:r>
      <w:r w:rsidR="00CA1D58" w:rsidRPr="001908EE">
        <w:rPr>
          <w:lang w:val="en-US"/>
        </w:rPr>
        <w:t xml:space="preserve">Edgenuity </w:t>
      </w:r>
      <w:r w:rsidRPr="001908EE">
        <w:rPr>
          <w:lang w:val="en-US"/>
        </w:rPr>
        <w:t>online math courses. Data show that across all grade</w:t>
      </w:r>
      <w:r w:rsidR="00CA1D58" w:rsidRPr="001908EE">
        <w:rPr>
          <w:lang w:val="en-US"/>
        </w:rPr>
        <w:t xml:space="preserve"> level</w:t>
      </w:r>
      <w:r w:rsidRPr="001908EE">
        <w:rPr>
          <w:lang w:val="en-US"/>
        </w:rPr>
        <w:t xml:space="preserve">s, the percentage of AHS students achieving proficiency on </w:t>
      </w:r>
      <w:r w:rsidR="00751498" w:rsidRPr="001908EE">
        <w:rPr>
          <w:lang w:val="en-US"/>
        </w:rPr>
        <w:t xml:space="preserve">the </w:t>
      </w:r>
      <w:r w:rsidRPr="001908EE">
        <w:rPr>
          <w:lang w:val="en-US"/>
        </w:rPr>
        <w:t xml:space="preserve">SAGE </w:t>
      </w:r>
      <w:r w:rsidR="00362237" w:rsidRPr="001908EE">
        <w:rPr>
          <w:lang w:val="en-US"/>
        </w:rPr>
        <w:t>m</w:t>
      </w:r>
      <w:r w:rsidRPr="001908EE">
        <w:rPr>
          <w:lang w:val="en-US"/>
        </w:rPr>
        <w:t xml:space="preserve">ath </w:t>
      </w:r>
      <w:r w:rsidR="00751498" w:rsidRPr="001908EE">
        <w:rPr>
          <w:lang w:val="en-US"/>
        </w:rPr>
        <w:t xml:space="preserve">assessment </w:t>
      </w:r>
      <w:r w:rsidRPr="001908EE">
        <w:rPr>
          <w:lang w:val="en-US"/>
        </w:rPr>
        <w:t>increased from 2014 to 2017. Results were particularly impressive for 10</w:t>
      </w:r>
      <w:r w:rsidRPr="00C17167">
        <w:rPr>
          <w:lang w:val="en-US"/>
        </w:rPr>
        <w:t>th</w:t>
      </w:r>
      <w:r w:rsidR="00751498" w:rsidRPr="001908EE">
        <w:rPr>
          <w:lang w:val="en-US"/>
        </w:rPr>
        <w:t xml:space="preserve"> </w:t>
      </w:r>
      <w:r w:rsidRPr="001908EE">
        <w:rPr>
          <w:lang w:val="en-US"/>
        </w:rPr>
        <w:t>grade students</w:t>
      </w:r>
      <w:r w:rsidR="00751498" w:rsidRPr="001908EE">
        <w:rPr>
          <w:lang w:val="en-US"/>
        </w:rPr>
        <w:t>,</w:t>
      </w:r>
      <w:r w:rsidRPr="001908EE">
        <w:rPr>
          <w:lang w:val="en-US"/>
        </w:rPr>
        <w:t xml:space="preserve"> who demonstrated more than an eightfold increase in</w:t>
      </w:r>
      <w:r w:rsidR="00CA1D58" w:rsidRPr="001908EE">
        <w:rPr>
          <w:lang w:val="en-US"/>
        </w:rPr>
        <w:t xml:space="preserve"> the percent</w:t>
      </w:r>
      <w:r w:rsidR="00751498" w:rsidRPr="001908EE">
        <w:rPr>
          <w:lang w:val="en-US"/>
        </w:rPr>
        <w:t>age</w:t>
      </w:r>
      <w:r w:rsidR="00CA1D58" w:rsidRPr="001908EE">
        <w:rPr>
          <w:lang w:val="en-US"/>
        </w:rPr>
        <w:t xml:space="preserve"> of students scoring at or above the proficient level</w:t>
      </w:r>
      <w:r w:rsidRPr="001908EE">
        <w:rPr>
          <w:lang w:val="en-US"/>
        </w:rPr>
        <w:t xml:space="preserve">. </w:t>
      </w:r>
    </w:p>
    <w:p w14:paraId="7E42BEDC" w14:textId="77777777" w:rsidR="00A606EC" w:rsidRPr="001908EE" w:rsidRDefault="00A606EC" w:rsidP="00BB6B0C">
      <w:pPr>
        <w:rPr>
          <w:lang w:val="en-US"/>
        </w:rPr>
      </w:pPr>
    </w:p>
    <w:p w14:paraId="61A0E924" w14:textId="0729C85E" w:rsidR="00A606EC" w:rsidRPr="001908EE" w:rsidRDefault="00BC1529" w:rsidP="00BB6B0C">
      <w:pPr>
        <w:rPr>
          <w:lang w:val="en-US"/>
        </w:rPr>
      </w:pPr>
      <w:r w:rsidRPr="001908EE">
        <w:rPr>
          <w:b/>
          <w:lang w:val="en-US"/>
        </w:rPr>
        <w:t xml:space="preserve">Figure </w:t>
      </w:r>
      <w:r w:rsidR="00C05B45" w:rsidRPr="001908EE">
        <w:rPr>
          <w:b/>
          <w:lang w:val="en-US"/>
        </w:rPr>
        <w:t>1</w:t>
      </w:r>
      <w:r w:rsidR="003316F8" w:rsidRPr="001908EE">
        <w:rPr>
          <w:b/>
          <w:lang w:val="en-US"/>
        </w:rPr>
        <w:t>.</w:t>
      </w:r>
      <w:r w:rsidRPr="001908EE">
        <w:rPr>
          <w:b/>
          <w:lang w:val="en-US"/>
        </w:rPr>
        <w:t xml:space="preserve"> Altamont High School Edgenuity Students, Grades 9</w:t>
      </w:r>
      <w:r w:rsidR="00751498" w:rsidRPr="001908EE">
        <w:rPr>
          <w:b/>
          <w:lang w:val="en-US"/>
        </w:rPr>
        <w:t>–</w:t>
      </w:r>
      <w:r w:rsidRPr="001908EE">
        <w:rPr>
          <w:b/>
          <w:lang w:val="en-US"/>
        </w:rPr>
        <w:t>11</w:t>
      </w:r>
      <w:r w:rsidRPr="001908EE">
        <w:rPr>
          <w:lang w:val="en-US"/>
        </w:rPr>
        <w:br/>
        <w:t>Percentage of Students Reaching Proficiency on Spring 2014, 2015, 2016, and 2017 SAGE Math</w:t>
      </w:r>
    </w:p>
    <w:p w14:paraId="751D0795" w14:textId="77777777" w:rsidR="00C76F73" w:rsidRPr="001908EE" w:rsidRDefault="00C76F73" w:rsidP="00BB6B0C">
      <w:pPr>
        <w:rPr>
          <w:lang w:val="en-US"/>
        </w:rPr>
      </w:pPr>
      <w:r w:rsidRPr="001908EE">
        <w:rPr>
          <w:noProof/>
          <w:lang w:val="en-US"/>
        </w:rPr>
        <w:drawing>
          <wp:inline distT="0" distB="0" distL="0" distR="0" wp14:anchorId="0A58FA6C" wp14:editId="128BB6E3">
            <wp:extent cx="676275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B8C27B" w14:textId="77777777" w:rsidR="00A606EC" w:rsidRPr="001908EE" w:rsidRDefault="00A606EC" w:rsidP="00BB6B0C">
      <w:pPr>
        <w:rPr>
          <w:lang w:val="en-US"/>
        </w:rPr>
      </w:pPr>
    </w:p>
    <w:bookmarkStart w:id="7" w:name="_b28kgmxpails" w:colFirst="0" w:colLast="0"/>
    <w:bookmarkEnd w:id="7"/>
    <w:p w14:paraId="4C09E37E" w14:textId="77777777" w:rsidR="00DD3CCB" w:rsidRPr="001908EE" w:rsidRDefault="009B6530" w:rsidP="00496EC8">
      <w:pPr>
        <w:pStyle w:val="Heading2"/>
        <w:rPr>
          <w:lang w:val="en-US"/>
        </w:rPr>
      </w:pPr>
      <w:r w:rsidRPr="001908EE">
        <w:rPr>
          <w:lang w:val="en-US"/>
        </w:rPr>
        <w:fldChar w:fldCharType="begin"/>
      </w:r>
      <w:r w:rsidRPr="001908EE">
        <w:rPr>
          <w:lang w:val="en-US"/>
        </w:rPr>
        <w:instrText xml:space="preserve"> HYPERLINK "https://www.edgenuity.com/Case-Studies/Edgenuity-Appleton-WI-case-study.pdf" </w:instrText>
      </w:r>
      <w:r w:rsidRPr="001908EE">
        <w:rPr>
          <w:lang w:val="en-US"/>
        </w:rPr>
        <w:fldChar w:fldCharType="separate"/>
      </w:r>
      <w:bookmarkStart w:id="8" w:name="_Toc19177045"/>
      <w:r w:rsidR="00DD3CCB" w:rsidRPr="001908EE">
        <w:rPr>
          <w:rStyle w:val="Hyperlink"/>
          <w:color w:val="2E7E9D" w:themeColor="accent2" w:themeShade="BF"/>
          <w:lang w:val="en-US"/>
        </w:rPr>
        <w:t xml:space="preserve">Appleton </w:t>
      </w:r>
      <w:r w:rsidRPr="001908EE">
        <w:rPr>
          <w:rStyle w:val="Hyperlink"/>
          <w:color w:val="2E7E9D" w:themeColor="accent2" w:themeShade="BF"/>
          <w:lang w:val="en-US"/>
        </w:rPr>
        <w:t xml:space="preserve">Central </w:t>
      </w:r>
      <w:r w:rsidR="00DD3CCB" w:rsidRPr="001908EE">
        <w:rPr>
          <w:rStyle w:val="Hyperlink"/>
          <w:color w:val="2E7E9D" w:themeColor="accent2" w:themeShade="BF"/>
          <w:lang w:val="en-US"/>
        </w:rPr>
        <w:t>High School</w:t>
      </w:r>
      <w:r w:rsidRPr="001908EE">
        <w:rPr>
          <w:lang w:val="en-US"/>
        </w:rPr>
        <w:fldChar w:fldCharType="end"/>
      </w:r>
      <w:r w:rsidR="000B4542" w:rsidRPr="001908EE">
        <w:rPr>
          <w:lang w:val="en-US"/>
        </w:rPr>
        <w:t xml:space="preserve">, Wisconsin </w:t>
      </w:r>
      <w:r w:rsidR="00B213CC" w:rsidRPr="001908EE">
        <w:rPr>
          <w:lang w:val="en-US"/>
        </w:rPr>
        <w:t>(Level 4)</w:t>
      </w:r>
      <w:bookmarkEnd w:id="8"/>
    </w:p>
    <w:p w14:paraId="32692786" w14:textId="36ABD71B" w:rsidR="009B6530" w:rsidRPr="001908EE" w:rsidRDefault="003316F8" w:rsidP="009B6530">
      <w:pPr>
        <w:rPr>
          <w:lang w:val="en-US"/>
        </w:rPr>
      </w:pPr>
      <w:r w:rsidRPr="001908EE">
        <w:rPr>
          <w:lang w:val="en-US"/>
        </w:rPr>
        <w:t>Most</w:t>
      </w:r>
      <w:r w:rsidR="009B6530" w:rsidRPr="001908EE">
        <w:rPr>
          <w:lang w:val="en-US"/>
        </w:rPr>
        <w:t xml:space="preserve"> students at Appleton Central High School (ACHS) are significantly credit deficient due to a range of factors</w:t>
      </w:r>
      <w:r w:rsidR="00751498" w:rsidRPr="001908EE">
        <w:rPr>
          <w:lang w:val="en-US"/>
        </w:rPr>
        <w:t>,</w:t>
      </w:r>
      <w:r w:rsidR="009B6530" w:rsidRPr="001908EE">
        <w:rPr>
          <w:lang w:val="en-US"/>
        </w:rPr>
        <w:t xml:space="preserve"> including teen pregnancy, mental health concerns, academic delays, alcohol and drug abuse, criminal behavior, and poverty. ACHS also enrolls withdrawn and expelled students. Most entering students are at least 1.5 years behind grade level. Edgenuity courses are used at ACHS for the Central Day, General Educational Development Option #2 (GEDO#2), and Dan Spalding Academy (DSA) programs. Central Day students attended school three hours a day, five day a week. Depending on the semester and required courses, students generally completed at least one course using Edgenuity’s math, language arts, science, social studies, and elective credit recovery courses in a computer lab during a 38-minute period. Students over the age of 17 used Edgenuity to complete some of the requirements needed for entry into the GEDO#2. Additionally, students enrolled in DSA used Edgenuity’s initial-credit core and elective courses to advance in their coursework while under expulsion.</w:t>
      </w:r>
    </w:p>
    <w:p w14:paraId="071E15DA" w14:textId="77777777" w:rsidR="009B6530" w:rsidRPr="001908EE" w:rsidRDefault="009B6530" w:rsidP="00DD3CCB">
      <w:pPr>
        <w:rPr>
          <w:lang w:val="en-US"/>
        </w:rPr>
      </w:pPr>
    </w:p>
    <w:p w14:paraId="2838FB54" w14:textId="68F87CDC" w:rsidR="00DD3CCB" w:rsidRPr="001908EE" w:rsidRDefault="00DD3CCB" w:rsidP="00DD3CCB">
      <w:pPr>
        <w:rPr>
          <w:lang w:val="en-US"/>
        </w:rPr>
      </w:pPr>
      <w:r w:rsidRPr="001908EE">
        <w:rPr>
          <w:lang w:val="en-US"/>
        </w:rPr>
        <w:t xml:space="preserve">After one year of implementing Edgenuity courses along with other academic and social interventions, the four-year graduation rate of students in this program for at-risk students increased from 16 percent to 46 percent. </w:t>
      </w:r>
      <w:r w:rsidR="00751498" w:rsidRPr="001908EE">
        <w:rPr>
          <w:lang w:val="en-US"/>
        </w:rPr>
        <w:t>T</w:t>
      </w:r>
      <w:r w:rsidRPr="001908EE">
        <w:rPr>
          <w:lang w:val="en-US"/>
        </w:rPr>
        <w:t>he dropout rate declined from 14 percent to 9 percent.</w:t>
      </w:r>
    </w:p>
    <w:p w14:paraId="20B74944" w14:textId="77777777" w:rsidR="009B6530" w:rsidRPr="001908EE" w:rsidRDefault="00EC3773" w:rsidP="00DD3CCB">
      <w:pPr>
        <w:rPr>
          <w:lang w:val="en-US"/>
        </w:rPr>
      </w:pPr>
      <w:r w:rsidRPr="001908EE">
        <w:rPr>
          <w:b/>
          <w:lang w:val="en-US"/>
        </w:rPr>
        <w:lastRenderedPageBreak/>
        <w:t>Figure 2</w:t>
      </w:r>
      <w:r w:rsidR="009B6530" w:rsidRPr="001908EE">
        <w:rPr>
          <w:b/>
          <w:lang w:val="en-US"/>
        </w:rPr>
        <w:t>. Appleton Central High School</w:t>
      </w:r>
      <w:r w:rsidRPr="001908EE">
        <w:rPr>
          <w:b/>
          <w:lang w:val="en-US"/>
        </w:rPr>
        <w:tab/>
      </w:r>
      <w:r w:rsidRPr="001908EE">
        <w:rPr>
          <w:b/>
          <w:lang w:val="en-US"/>
        </w:rPr>
        <w:tab/>
        <w:t>Figure 3</w:t>
      </w:r>
      <w:r w:rsidR="009B6530" w:rsidRPr="001908EE">
        <w:rPr>
          <w:b/>
          <w:lang w:val="en-US"/>
        </w:rPr>
        <w:t>. Appleton Central High School</w:t>
      </w:r>
    </w:p>
    <w:p w14:paraId="32826E33" w14:textId="77777777" w:rsidR="009B6530" w:rsidRPr="001908EE" w:rsidRDefault="009B6530" w:rsidP="00DD3CCB">
      <w:pPr>
        <w:rPr>
          <w:lang w:val="en-US"/>
        </w:rPr>
      </w:pPr>
      <w:r w:rsidRPr="001908EE">
        <w:rPr>
          <w:lang w:val="en-US"/>
        </w:rPr>
        <w:t>Graduation Rate</w:t>
      </w:r>
      <w:r w:rsidRPr="001908EE">
        <w:rPr>
          <w:lang w:val="en-US"/>
        </w:rPr>
        <w:tab/>
      </w:r>
      <w:r w:rsidRPr="001908EE">
        <w:rPr>
          <w:lang w:val="en-US"/>
        </w:rPr>
        <w:tab/>
      </w:r>
      <w:r w:rsidRPr="001908EE">
        <w:rPr>
          <w:lang w:val="en-US"/>
        </w:rPr>
        <w:tab/>
      </w:r>
      <w:r w:rsidRPr="001908EE">
        <w:rPr>
          <w:lang w:val="en-US"/>
        </w:rPr>
        <w:tab/>
      </w:r>
      <w:r w:rsidRPr="001908EE">
        <w:rPr>
          <w:lang w:val="en-US"/>
        </w:rPr>
        <w:tab/>
        <w:t>Dropout Rate</w:t>
      </w:r>
    </w:p>
    <w:p w14:paraId="50CA72B8" w14:textId="77777777" w:rsidR="009B6530" w:rsidRPr="001908EE" w:rsidRDefault="009B6530" w:rsidP="00DD3CCB">
      <w:pPr>
        <w:rPr>
          <w:lang w:val="en-US"/>
        </w:rPr>
      </w:pPr>
      <w:r w:rsidRPr="001908EE">
        <w:rPr>
          <w:noProof/>
          <w:lang w:val="en-US"/>
        </w:rPr>
        <w:drawing>
          <wp:inline distT="0" distB="0" distL="0" distR="0" wp14:anchorId="14F3D80B" wp14:editId="69B3CC99">
            <wp:extent cx="27432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908EE">
        <w:rPr>
          <w:lang w:val="en-US"/>
        </w:rPr>
        <w:t xml:space="preserve"> </w:t>
      </w:r>
      <w:r w:rsidRPr="001908EE">
        <w:rPr>
          <w:lang w:val="en-US"/>
        </w:rPr>
        <w:tab/>
      </w:r>
      <w:r w:rsidRPr="001908EE">
        <w:rPr>
          <w:noProof/>
          <w:lang w:val="en-US"/>
        </w:rPr>
        <w:drawing>
          <wp:inline distT="0" distB="0" distL="0" distR="0" wp14:anchorId="31BD0909" wp14:editId="3C1076FC">
            <wp:extent cx="27432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9FCEAB" w14:textId="77777777" w:rsidR="00A606EC" w:rsidRPr="001908EE" w:rsidRDefault="008B1B9E" w:rsidP="00496EC8">
      <w:pPr>
        <w:pStyle w:val="Heading2"/>
        <w:rPr>
          <w:lang w:val="en-US"/>
        </w:rPr>
      </w:pPr>
      <w:hyperlink r:id="rId11" w:history="1">
        <w:bookmarkStart w:id="9" w:name="_Toc19177046"/>
        <w:r w:rsidR="00BC1529" w:rsidRPr="001908EE">
          <w:rPr>
            <w:rStyle w:val="Hyperlink"/>
            <w:color w:val="2E7E9D" w:themeColor="accent2" w:themeShade="BF"/>
            <w:lang w:val="en-US"/>
          </w:rPr>
          <w:t>Bald Eagle High School</w:t>
        </w:r>
      </w:hyperlink>
      <w:r w:rsidR="000B4542" w:rsidRPr="001908EE">
        <w:rPr>
          <w:rStyle w:val="Hyperlink"/>
          <w:color w:val="2E7E9D" w:themeColor="accent2" w:themeShade="BF"/>
          <w:lang w:val="en-US"/>
        </w:rPr>
        <w:t>, Pennsylvania</w:t>
      </w:r>
      <w:r w:rsidR="00B213CC" w:rsidRPr="001908EE">
        <w:rPr>
          <w:rStyle w:val="Hyperlink"/>
          <w:color w:val="2E7E9D" w:themeColor="accent2" w:themeShade="BF"/>
          <w:lang w:val="en-US"/>
        </w:rPr>
        <w:t xml:space="preserve"> (Level 4)</w:t>
      </w:r>
      <w:bookmarkEnd w:id="9"/>
    </w:p>
    <w:p w14:paraId="6AC83715" w14:textId="2F1EA3AC" w:rsidR="00A606EC" w:rsidRPr="001908EE" w:rsidRDefault="00BC1529" w:rsidP="00BB6B0C">
      <w:pPr>
        <w:rPr>
          <w:rFonts w:eastAsia="Arial Unicode MS"/>
          <w:lang w:val="en-US"/>
        </w:rPr>
      </w:pPr>
      <w:r w:rsidRPr="001908EE">
        <w:rPr>
          <w:lang w:val="en-US"/>
        </w:rPr>
        <w:t>From September 2, 2015</w:t>
      </w:r>
      <w:r w:rsidR="001E0E72" w:rsidRPr="001908EE">
        <w:rPr>
          <w:lang w:val="en-US"/>
        </w:rPr>
        <w:t>,</w:t>
      </w:r>
      <w:r w:rsidRPr="001908EE">
        <w:rPr>
          <w:lang w:val="en-US"/>
        </w:rPr>
        <w:t xml:space="preserve"> to January 22, 2016, </w:t>
      </w:r>
      <w:r w:rsidR="00D26AA1" w:rsidRPr="001908EE">
        <w:rPr>
          <w:lang w:val="en-US"/>
        </w:rPr>
        <w:t xml:space="preserve">40 </w:t>
      </w:r>
      <w:r w:rsidRPr="001908EE">
        <w:rPr>
          <w:lang w:val="en-US"/>
        </w:rPr>
        <w:t xml:space="preserve">students who needed to retake the </w:t>
      </w:r>
      <w:r w:rsidR="001E0E72" w:rsidRPr="001908EE">
        <w:rPr>
          <w:lang w:val="en-US"/>
        </w:rPr>
        <w:t>b</w:t>
      </w:r>
      <w:r w:rsidRPr="001908EE">
        <w:rPr>
          <w:lang w:val="en-US"/>
        </w:rPr>
        <w:t xml:space="preserve">iology Keystone Exam were offered Edgenuity’s </w:t>
      </w:r>
      <w:r w:rsidR="00EF055E" w:rsidRPr="001908EE">
        <w:rPr>
          <w:rFonts w:eastAsia="Arial Unicode MS"/>
          <w:lang w:val="en-US"/>
        </w:rPr>
        <w:t xml:space="preserve">Biology Virtual Tutor </w:t>
      </w:r>
      <w:r w:rsidR="00EF055E" w:rsidRPr="001908EE">
        <w:rPr>
          <w:lang w:val="en-US"/>
        </w:rPr>
        <w:t xml:space="preserve">(an online </w:t>
      </w:r>
      <w:r w:rsidR="004A64AB" w:rsidRPr="001908EE">
        <w:rPr>
          <w:lang w:val="en-US"/>
        </w:rPr>
        <w:t>test preparation</w:t>
      </w:r>
      <w:r w:rsidR="00EF055E" w:rsidRPr="001908EE">
        <w:rPr>
          <w:lang w:val="en-US"/>
        </w:rPr>
        <w:t xml:space="preserve"> program)</w:t>
      </w:r>
      <w:r w:rsidR="00C05B45" w:rsidRPr="001908EE">
        <w:rPr>
          <w:lang w:val="en-US"/>
        </w:rPr>
        <w:t xml:space="preserve"> 44 minutes per day, </w:t>
      </w:r>
      <w:r w:rsidR="001E0E72" w:rsidRPr="001908EE">
        <w:rPr>
          <w:lang w:val="en-US"/>
        </w:rPr>
        <w:t xml:space="preserve">five </w:t>
      </w:r>
      <w:r w:rsidR="00C05B45" w:rsidRPr="001908EE">
        <w:rPr>
          <w:lang w:val="en-US"/>
        </w:rPr>
        <w:t>days per week</w:t>
      </w:r>
      <w:r w:rsidRPr="001908EE">
        <w:rPr>
          <w:rFonts w:eastAsia="Arial Unicode MS"/>
          <w:lang w:val="en-US"/>
        </w:rPr>
        <w:t xml:space="preserve">. After using Edgenuity’s Biology Virtual Tutor for 18 weeks, students showed gains on the </w:t>
      </w:r>
      <w:r w:rsidR="001E0E72" w:rsidRPr="001908EE">
        <w:rPr>
          <w:rFonts w:eastAsia="Arial Unicode MS"/>
          <w:lang w:val="en-US"/>
        </w:rPr>
        <w:t>b</w:t>
      </w:r>
      <w:r w:rsidRPr="001908EE">
        <w:rPr>
          <w:rFonts w:eastAsia="Arial Unicode MS"/>
          <w:lang w:val="en-US"/>
        </w:rPr>
        <w:t xml:space="preserve">iology Keystone Exam. On Module 1, Edgenuity students </w:t>
      </w:r>
      <w:r w:rsidR="0076358F" w:rsidRPr="001908EE">
        <w:rPr>
          <w:rFonts w:eastAsia="Arial Unicode MS"/>
          <w:lang w:val="en-US"/>
        </w:rPr>
        <w:t>demonstra</w:t>
      </w:r>
      <w:r w:rsidR="00D26AA1" w:rsidRPr="001908EE">
        <w:rPr>
          <w:rFonts w:eastAsia="Arial Unicode MS"/>
          <w:lang w:val="en-US"/>
        </w:rPr>
        <w:t xml:space="preserve">ted significant improvement </w:t>
      </w:r>
      <w:r w:rsidRPr="001908EE">
        <w:rPr>
          <w:rFonts w:eastAsia="Arial Unicode MS"/>
          <w:lang w:val="en-US"/>
        </w:rPr>
        <w:t xml:space="preserve">from a spring 2015 scale score of 1,471 to a winter 2016 scale score </w:t>
      </w:r>
      <w:r w:rsidR="00D26AA1" w:rsidRPr="001908EE">
        <w:rPr>
          <w:rFonts w:eastAsia="Arial Unicode MS"/>
          <w:lang w:val="en-US"/>
        </w:rPr>
        <w:t xml:space="preserve">of 1,492, </w:t>
      </w:r>
      <w:r w:rsidR="0076358F" w:rsidRPr="001908EE">
        <w:rPr>
          <w:rFonts w:eastAsia="Arial Unicode MS"/>
          <w:lang w:val="en-US"/>
        </w:rPr>
        <w:t xml:space="preserve">a </w:t>
      </w:r>
      <w:r w:rsidR="003316F8" w:rsidRPr="001908EE">
        <w:rPr>
          <w:rFonts w:eastAsia="Arial Unicode MS"/>
          <w:lang w:val="en-US"/>
        </w:rPr>
        <w:t>21-point</w:t>
      </w:r>
      <w:r w:rsidR="0076358F" w:rsidRPr="001908EE">
        <w:rPr>
          <w:rFonts w:eastAsia="Arial Unicode MS"/>
          <w:lang w:val="en-US"/>
        </w:rPr>
        <w:t xml:space="preserve"> gain</w:t>
      </w:r>
      <w:r w:rsidR="00D26AA1" w:rsidRPr="001908EE">
        <w:rPr>
          <w:rFonts w:eastAsia="Arial Unicode MS"/>
          <w:lang w:val="en-US"/>
        </w:rPr>
        <w:t xml:space="preserve"> (p&lt;0.05).</w:t>
      </w:r>
      <w:r w:rsidRPr="001908EE">
        <w:rPr>
          <w:rFonts w:eastAsia="Arial Unicode MS"/>
          <w:lang w:val="en-US"/>
        </w:rPr>
        <w:t xml:space="preserve"> On Module 2, Edgenuity students </w:t>
      </w:r>
      <w:r w:rsidR="0076358F" w:rsidRPr="001908EE">
        <w:rPr>
          <w:rFonts w:eastAsia="Arial Unicode MS"/>
          <w:lang w:val="en-US"/>
        </w:rPr>
        <w:t xml:space="preserve">demonstrated significant </w:t>
      </w:r>
      <w:r w:rsidRPr="001908EE">
        <w:rPr>
          <w:rFonts w:eastAsia="Arial Unicode MS"/>
          <w:lang w:val="en-US"/>
        </w:rPr>
        <w:t>improve</w:t>
      </w:r>
      <w:r w:rsidR="0076358F" w:rsidRPr="001908EE">
        <w:rPr>
          <w:rFonts w:eastAsia="Arial Unicode MS"/>
          <w:lang w:val="en-US"/>
        </w:rPr>
        <w:t xml:space="preserve">ment (p ≤ 0.05 per a dependent t-test) </w:t>
      </w:r>
      <w:r w:rsidRPr="001908EE">
        <w:rPr>
          <w:rFonts w:eastAsia="Arial Unicode MS"/>
          <w:lang w:val="en-US"/>
        </w:rPr>
        <w:t xml:space="preserve">from a spring 2015 scale score of 1,477 to a winter 2016 scale score of 1,481 </w:t>
      </w:r>
      <w:r w:rsidR="0076358F" w:rsidRPr="001908EE">
        <w:rPr>
          <w:rFonts w:eastAsia="Arial Unicode MS"/>
          <w:lang w:val="en-US"/>
        </w:rPr>
        <w:t>(</w:t>
      </w:r>
      <w:r w:rsidRPr="001908EE">
        <w:rPr>
          <w:rFonts w:eastAsia="Arial Unicode MS"/>
          <w:lang w:val="en-US"/>
        </w:rPr>
        <w:t xml:space="preserve">a </w:t>
      </w:r>
      <w:r w:rsidR="003316F8" w:rsidRPr="001908EE">
        <w:rPr>
          <w:rFonts w:eastAsia="Arial Unicode MS"/>
          <w:lang w:val="en-US"/>
        </w:rPr>
        <w:t>4-point</w:t>
      </w:r>
      <w:r w:rsidRPr="001908EE">
        <w:rPr>
          <w:rFonts w:eastAsia="Arial Unicode MS"/>
          <w:lang w:val="en-US"/>
        </w:rPr>
        <w:t xml:space="preserve"> </w:t>
      </w:r>
      <w:r w:rsidR="0076358F" w:rsidRPr="001908EE">
        <w:rPr>
          <w:rFonts w:eastAsia="Arial Unicode MS"/>
          <w:lang w:val="en-US"/>
        </w:rPr>
        <w:t>gain)</w:t>
      </w:r>
      <w:r w:rsidRPr="001908EE">
        <w:rPr>
          <w:rFonts w:eastAsia="Arial Unicode MS"/>
          <w:lang w:val="en-US"/>
        </w:rPr>
        <w:t>.</w:t>
      </w:r>
    </w:p>
    <w:p w14:paraId="1DF60CFB" w14:textId="77777777" w:rsidR="00A606EC" w:rsidRPr="001908EE" w:rsidRDefault="00A606EC" w:rsidP="00BB6B0C">
      <w:pPr>
        <w:rPr>
          <w:lang w:val="en-US"/>
        </w:rPr>
      </w:pPr>
    </w:p>
    <w:p w14:paraId="035CAADD" w14:textId="4579DA19" w:rsidR="00A606EC" w:rsidRPr="001908EE" w:rsidRDefault="00EC3773" w:rsidP="00BB6B0C">
      <w:pPr>
        <w:rPr>
          <w:lang w:val="en-US"/>
        </w:rPr>
      </w:pPr>
      <w:r w:rsidRPr="001908EE">
        <w:rPr>
          <w:b/>
          <w:lang w:val="en-US"/>
        </w:rPr>
        <w:t>Figure 4</w:t>
      </w:r>
      <w:r w:rsidR="003316F8" w:rsidRPr="001908EE">
        <w:rPr>
          <w:b/>
          <w:lang w:val="en-US"/>
        </w:rPr>
        <w:t>.</w:t>
      </w:r>
      <w:r w:rsidR="00BC1529" w:rsidRPr="001908EE">
        <w:rPr>
          <w:b/>
          <w:lang w:val="en-US"/>
        </w:rPr>
        <w:t xml:space="preserve"> Bald Eagle High School Edgenuity Students, Grades 10</w:t>
      </w:r>
      <w:r w:rsidR="008B3EE6" w:rsidRPr="001908EE">
        <w:rPr>
          <w:b/>
          <w:lang w:val="en-US"/>
        </w:rPr>
        <w:t>–</w:t>
      </w:r>
      <w:r w:rsidR="00BC1529" w:rsidRPr="001908EE">
        <w:rPr>
          <w:b/>
          <w:lang w:val="en-US"/>
        </w:rPr>
        <w:t>11</w:t>
      </w:r>
      <w:r w:rsidR="00BC1529" w:rsidRPr="001908EE">
        <w:rPr>
          <w:b/>
          <w:lang w:val="en-US"/>
        </w:rPr>
        <w:br/>
      </w:r>
      <w:r w:rsidR="00BC1529" w:rsidRPr="001908EE">
        <w:rPr>
          <w:lang w:val="en-US"/>
        </w:rPr>
        <w:t>Performance on the Pennsylvania Biology Keystone Exam, Spring 2015 to Winter 2016 (N = 40)</w:t>
      </w:r>
    </w:p>
    <w:p w14:paraId="1513A42C" w14:textId="77777777" w:rsidR="00A606EC" w:rsidRPr="001908EE" w:rsidRDefault="00C76F73" w:rsidP="00BB6B0C">
      <w:pPr>
        <w:rPr>
          <w:lang w:val="en-US"/>
        </w:rPr>
      </w:pPr>
      <w:r w:rsidRPr="001908EE">
        <w:rPr>
          <w:noProof/>
          <w:lang w:val="en-US"/>
        </w:rPr>
        <w:drawing>
          <wp:inline distT="0" distB="0" distL="0" distR="0" wp14:anchorId="5EB17DC8" wp14:editId="5A33527F">
            <wp:extent cx="4486275"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Start w:id="10" w:name="_8jos6cj80dps" w:colFirst="0" w:colLast="0"/>
    <w:bookmarkStart w:id="11" w:name="_tcw8lv16bkyd" w:colFirst="0" w:colLast="0"/>
    <w:bookmarkEnd w:id="10"/>
    <w:bookmarkEnd w:id="11"/>
    <w:p w14:paraId="2D8DF531" w14:textId="77777777" w:rsidR="00DD3CCB" w:rsidRPr="001908EE" w:rsidRDefault="009B6530" w:rsidP="00496EC8">
      <w:pPr>
        <w:pStyle w:val="Heading2"/>
        <w:rPr>
          <w:lang w:val="en-US"/>
        </w:rPr>
      </w:pPr>
      <w:r w:rsidRPr="001908EE">
        <w:rPr>
          <w:lang w:val="en-US"/>
        </w:rPr>
        <w:fldChar w:fldCharType="begin"/>
      </w:r>
      <w:r w:rsidRPr="001908EE">
        <w:rPr>
          <w:lang w:val="en-US"/>
        </w:rPr>
        <w:instrText xml:space="preserve"> HYPERLINK "https://www.edgenuity.com/Case-Studies/Edgenuity-Classical-Academies-CA-Case-Study.pdf" </w:instrText>
      </w:r>
      <w:r w:rsidRPr="001908EE">
        <w:rPr>
          <w:lang w:val="en-US"/>
        </w:rPr>
        <w:fldChar w:fldCharType="separate"/>
      </w:r>
      <w:bookmarkStart w:id="12" w:name="_Toc19177047"/>
      <w:r w:rsidR="00DD3CCB" w:rsidRPr="001908EE">
        <w:rPr>
          <w:rStyle w:val="Hyperlink"/>
          <w:color w:val="2E7E9D" w:themeColor="accent2" w:themeShade="BF"/>
          <w:lang w:val="en-US"/>
        </w:rPr>
        <w:t>Classical Academies</w:t>
      </w:r>
      <w:r w:rsidRPr="001908EE">
        <w:rPr>
          <w:lang w:val="en-US"/>
        </w:rPr>
        <w:fldChar w:fldCharType="end"/>
      </w:r>
      <w:r w:rsidR="000B4542" w:rsidRPr="001908EE">
        <w:rPr>
          <w:lang w:val="en-US"/>
        </w:rPr>
        <w:t>, California (Level 4)</w:t>
      </w:r>
      <w:bookmarkEnd w:id="12"/>
    </w:p>
    <w:p w14:paraId="3A041E09" w14:textId="77777777" w:rsidR="00A4240F" w:rsidRPr="001908EE" w:rsidRDefault="00A4240F" w:rsidP="00A4240F">
      <w:pPr>
        <w:rPr>
          <w:lang w:val="en-US"/>
        </w:rPr>
      </w:pPr>
      <w:r w:rsidRPr="001908EE">
        <w:rPr>
          <w:lang w:val="en-US"/>
        </w:rPr>
        <w:t xml:space="preserve">In 2013, Classical Academies set out to provide more flexible learning options that would better differentiate instruction and create more time for conferencing with students and parents. A collaborative leadership team </w:t>
      </w:r>
      <w:r w:rsidRPr="001908EE">
        <w:rPr>
          <w:lang w:val="en-US"/>
        </w:rPr>
        <w:lastRenderedPageBreak/>
        <w:t>made up of department heads, teachers, principals, parents, and school board members began researching online curriculum providers to support this initiative. Classical Academies chose Edgenuity because of its research base, breadth of course offerings, and actionable data.</w:t>
      </w:r>
    </w:p>
    <w:p w14:paraId="4B0112D0" w14:textId="77777777" w:rsidR="00A4240F" w:rsidRPr="001908EE" w:rsidRDefault="00A4240F" w:rsidP="00DD3CCB">
      <w:pPr>
        <w:rPr>
          <w:lang w:val="en-US"/>
        </w:rPr>
      </w:pPr>
    </w:p>
    <w:p w14:paraId="033BA3B6" w14:textId="77777777" w:rsidR="00DD3CCB" w:rsidRPr="001908EE" w:rsidRDefault="00DD3CCB" w:rsidP="00DD3CCB">
      <w:pPr>
        <w:rPr>
          <w:lang w:val="en-US"/>
        </w:rPr>
      </w:pPr>
      <w:r w:rsidRPr="001908EE">
        <w:rPr>
          <w:lang w:val="en-US"/>
        </w:rPr>
        <w:t>Data showed that 81 percent of students earned a score of three or higher on their Advanced Placement tests and 99 percent of students graduated on time.</w:t>
      </w:r>
    </w:p>
    <w:p w14:paraId="2204310B" w14:textId="77777777" w:rsidR="00A4240F" w:rsidRPr="001908EE" w:rsidRDefault="00A4240F" w:rsidP="00DD3CCB">
      <w:pPr>
        <w:rPr>
          <w:lang w:val="en-US"/>
        </w:rPr>
      </w:pPr>
    </w:p>
    <w:p w14:paraId="15DA481F" w14:textId="6EB0B809" w:rsidR="00A4240F" w:rsidRPr="001908EE" w:rsidRDefault="00A4240F" w:rsidP="00A4240F">
      <w:pPr>
        <w:rPr>
          <w:lang w:val="en-US"/>
        </w:rPr>
      </w:pPr>
      <w:r w:rsidRPr="001908EE">
        <w:rPr>
          <w:lang w:val="en-US"/>
        </w:rPr>
        <w:t xml:space="preserve">Student engagement continues to rise as students find a comfortable and safe learning environment, as well as quality college prep courses through Edgenuity. Students who have struggled with a traditional </w:t>
      </w:r>
      <w:r w:rsidR="003316F8" w:rsidRPr="001908EE">
        <w:rPr>
          <w:lang w:val="en-US"/>
        </w:rPr>
        <w:t>public</w:t>
      </w:r>
      <w:r w:rsidR="001E0E72" w:rsidRPr="001908EE">
        <w:rPr>
          <w:lang w:val="en-US"/>
        </w:rPr>
        <w:t xml:space="preserve"> </w:t>
      </w:r>
      <w:r w:rsidR="003316F8" w:rsidRPr="001908EE">
        <w:rPr>
          <w:lang w:val="en-US"/>
        </w:rPr>
        <w:t>school</w:t>
      </w:r>
      <w:r w:rsidRPr="001908EE">
        <w:rPr>
          <w:lang w:val="en-US"/>
        </w:rPr>
        <w:t xml:space="preserve"> setting are now successful in this environment. Edgenuity has provided the students and the staff with an ideal learning partnership, where students are able to accelerate, are held accountable, and are motivated to have a successful learning experience.</w:t>
      </w:r>
    </w:p>
    <w:p w14:paraId="720D7E90" w14:textId="77777777" w:rsidR="00234581" w:rsidRPr="001908EE" w:rsidRDefault="00BC1529" w:rsidP="00496EC8">
      <w:pPr>
        <w:pStyle w:val="Heading2"/>
        <w:rPr>
          <w:lang w:val="en-US"/>
        </w:rPr>
      </w:pPr>
      <w:bookmarkStart w:id="13" w:name="_Toc19177048"/>
      <w:r w:rsidRPr="001908EE">
        <w:rPr>
          <w:lang w:val="en-US"/>
        </w:rPr>
        <w:t>Copper River School District</w:t>
      </w:r>
      <w:r w:rsidR="000B4542" w:rsidRPr="001908EE">
        <w:rPr>
          <w:lang w:val="en-US"/>
        </w:rPr>
        <w:t>, Alaska (Level 4)</w:t>
      </w:r>
      <w:bookmarkEnd w:id="13"/>
    </w:p>
    <w:p w14:paraId="0ABD4816" w14:textId="26B6584F" w:rsidR="00B8022B" w:rsidRPr="001908EE" w:rsidRDefault="00FD6056" w:rsidP="00234581">
      <w:pPr>
        <w:rPr>
          <w:lang w:val="en-US"/>
        </w:rPr>
      </w:pPr>
      <w:r w:rsidRPr="001908EE">
        <w:rPr>
          <w:lang w:val="en-US"/>
        </w:rPr>
        <w:t xml:space="preserve">In fall 2013, Copper River School District implemented Edgenuity as a curriculum resource </w:t>
      </w:r>
      <w:r w:rsidR="00F74DD5" w:rsidRPr="001908EE">
        <w:rPr>
          <w:lang w:val="en-US"/>
        </w:rPr>
        <w:t xml:space="preserve">(used in a rotational model) </w:t>
      </w:r>
      <w:r w:rsidRPr="001908EE">
        <w:rPr>
          <w:lang w:val="en-US"/>
        </w:rPr>
        <w:t xml:space="preserve">with middle and high school students. </w:t>
      </w:r>
      <w:r w:rsidR="00BC1529" w:rsidRPr="001908EE">
        <w:rPr>
          <w:lang w:val="en-US"/>
        </w:rPr>
        <w:t>During the 2013</w:t>
      </w:r>
      <w:r w:rsidR="00A33ADF" w:rsidRPr="001908EE">
        <w:rPr>
          <w:lang w:val="en-US"/>
        </w:rPr>
        <w:t>–</w:t>
      </w:r>
      <w:r w:rsidR="00BC1529" w:rsidRPr="001908EE">
        <w:rPr>
          <w:lang w:val="en-US"/>
        </w:rPr>
        <w:t xml:space="preserve">2014 school year, Edgenuity examined the impact of Edgenuity Courseware on the reading and math achievement of Copper River middle and high school students. </w:t>
      </w:r>
      <w:r w:rsidR="00B8022B" w:rsidRPr="001908EE">
        <w:rPr>
          <w:lang w:val="en-US"/>
        </w:rPr>
        <w:t xml:space="preserve">NWEA MAP </w:t>
      </w:r>
      <w:r w:rsidR="00BC1529" w:rsidRPr="001908EE">
        <w:rPr>
          <w:lang w:val="en-US"/>
        </w:rPr>
        <w:t>Growth assessment data were obtained for 130 reading students and 126 math students, and a normative comparison group of 6</w:t>
      </w:r>
      <w:r w:rsidR="00A33ADF" w:rsidRPr="001908EE">
        <w:rPr>
          <w:lang w:val="en-US"/>
        </w:rPr>
        <w:t xml:space="preserve">th </w:t>
      </w:r>
      <w:r w:rsidR="00C17167" w:rsidRPr="001908EE">
        <w:rPr>
          <w:lang w:val="en-US"/>
        </w:rPr>
        <w:t>through</w:t>
      </w:r>
      <w:r w:rsidR="00A33ADF" w:rsidRPr="001908EE">
        <w:rPr>
          <w:lang w:val="en-US"/>
        </w:rPr>
        <w:t xml:space="preserve"> </w:t>
      </w:r>
      <w:r w:rsidR="00BC1529" w:rsidRPr="001908EE">
        <w:rPr>
          <w:lang w:val="en-US"/>
        </w:rPr>
        <w:t>11</w:t>
      </w:r>
      <w:r w:rsidR="00A33ADF" w:rsidRPr="001908EE">
        <w:rPr>
          <w:lang w:val="en-US"/>
        </w:rPr>
        <w:t>th</w:t>
      </w:r>
      <w:r w:rsidR="00BC1529" w:rsidRPr="001908EE">
        <w:rPr>
          <w:lang w:val="en-US"/>
        </w:rPr>
        <w:t xml:space="preserve"> grade students who did not use the program. After one year, students reduced the achievement gap that existed between themselves and the national norm on the reading and math RIT scales. </w:t>
      </w:r>
      <w:r w:rsidR="00B8022B" w:rsidRPr="001908EE">
        <w:rPr>
          <w:lang w:val="en-US"/>
        </w:rPr>
        <w:t xml:space="preserve">For example, Edgenuity 6th, 7th, 8th, and 9th graders significantly </w:t>
      </w:r>
      <w:r w:rsidR="00195077" w:rsidRPr="001908EE">
        <w:rPr>
          <w:lang w:val="en-US"/>
        </w:rPr>
        <w:t>gained</w:t>
      </w:r>
      <w:r w:rsidR="00B8022B" w:rsidRPr="001908EE">
        <w:rPr>
          <w:lang w:val="en-US"/>
        </w:rPr>
        <w:t xml:space="preserve"> 8.7, 8.4, 8.4, and 4.8 points, respectively. Perhaps more notably, while 7th grade students were performing 2.8 points below the national norm in fall 2013, by spring 2014 they were performing above it.</w:t>
      </w:r>
    </w:p>
    <w:p w14:paraId="1A832B84" w14:textId="77777777" w:rsidR="00FD6056" w:rsidRPr="001908EE" w:rsidRDefault="00FD6056" w:rsidP="00BB6B0C">
      <w:pPr>
        <w:rPr>
          <w:lang w:val="en-US"/>
        </w:rPr>
      </w:pPr>
    </w:p>
    <w:p w14:paraId="35293148" w14:textId="4663E579" w:rsidR="00A606EC" w:rsidRPr="001908EE" w:rsidRDefault="00EC3773" w:rsidP="00BB6B0C">
      <w:pPr>
        <w:rPr>
          <w:lang w:val="en-US"/>
        </w:rPr>
      </w:pPr>
      <w:r w:rsidRPr="001908EE">
        <w:rPr>
          <w:b/>
          <w:lang w:val="en-US"/>
        </w:rPr>
        <w:t xml:space="preserve">Figure </w:t>
      </w:r>
      <w:r w:rsidR="00B539E3" w:rsidRPr="001908EE">
        <w:rPr>
          <w:b/>
          <w:lang w:val="en-US"/>
        </w:rPr>
        <w:t>5</w:t>
      </w:r>
      <w:r w:rsidR="003316F8" w:rsidRPr="001908EE">
        <w:rPr>
          <w:b/>
          <w:lang w:val="en-US"/>
        </w:rPr>
        <w:t>.</w:t>
      </w:r>
      <w:r w:rsidR="00BC1529" w:rsidRPr="001908EE">
        <w:rPr>
          <w:b/>
          <w:lang w:val="en-US"/>
        </w:rPr>
        <w:t xml:space="preserve"> Copper River School District Edgenuity Students, Grades 6</w:t>
      </w:r>
      <w:r w:rsidR="00A33ADF" w:rsidRPr="001908EE">
        <w:rPr>
          <w:b/>
          <w:lang w:val="en-US"/>
        </w:rPr>
        <w:t>–</w:t>
      </w:r>
      <w:r w:rsidR="00BC1529" w:rsidRPr="001908EE">
        <w:rPr>
          <w:b/>
          <w:lang w:val="en-US"/>
        </w:rPr>
        <w:t>11 (N = 130)</w:t>
      </w:r>
      <w:r w:rsidR="00FD6056" w:rsidRPr="001908EE">
        <w:rPr>
          <w:b/>
          <w:lang w:val="en-US"/>
        </w:rPr>
        <w:t xml:space="preserve"> </w:t>
      </w:r>
      <w:r w:rsidR="00BC1529" w:rsidRPr="001908EE">
        <w:rPr>
          <w:lang w:val="en-US"/>
        </w:rPr>
        <w:br/>
        <w:t>Performance on the NWEA MAP Growth Reading Assessment, Fall 2013 to Spring 2014</w:t>
      </w:r>
    </w:p>
    <w:tbl>
      <w:tblPr>
        <w:tblStyle w:val="a"/>
        <w:tblW w:w="1021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630"/>
        <w:gridCol w:w="1440"/>
        <w:gridCol w:w="1728"/>
        <w:gridCol w:w="1260"/>
        <w:gridCol w:w="3600"/>
      </w:tblGrid>
      <w:tr w:rsidR="00A606EC" w:rsidRPr="001908EE" w14:paraId="28244FFA" w14:textId="77777777" w:rsidTr="00B8022B">
        <w:trPr>
          <w:trHeight w:val="288"/>
        </w:trPr>
        <w:tc>
          <w:tcPr>
            <w:tcW w:w="1560" w:type="dxa"/>
            <w:shd w:val="clear" w:color="auto" w:fill="2E3192"/>
            <w:tcMar>
              <w:top w:w="0" w:type="dxa"/>
              <w:left w:w="0" w:type="dxa"/>
              <w:bottom w:w="0" w:type="dxa"/>
              <w:right w:w="0" w:type="dxa"/>
            </w:tcMar>
            <w:vAlign w:val="center"/>
          </w:tcPr>
          <w:p w14:paraId="08547831" w14:textId="77777777" w:rsidR="00A606EC" w:rsidRPr="001908EE" w:rsidRDefault="00BC1529" w:rsidP="00B8022B">
            <w:pPr>
              <w:jc w:val="center"/>
              <w:rPr>
                <w:lang w:val="en-US"/>
              </w:rPr>
            </w:pPr>
            <w:r w:rsidRPr="001908EE">
              <w:rPr>
                <w:lang w:val="en-US"/>
              </w:rPr>
              <w:t>Grade</w:t>
            </w:r>
          </w:p>
        </w:tc>
        <w:tc>
          <w:tcPr>
            <w:tcW w:w="630" w:type="dxa"/>
            <w:shd w:val="clear" w:color="auto" w:fill="2E3192"/>
            <w:tcMar>
              <w:top w:w="0" w:type="dxa"/>
              <w:left w:w="0" w:type="dxa"/>
              <w:bottom w:w="0" w:type="dxa"/>
              <w:right w:w="0" w:type="dxa"/>
            </w:tcMar>
            <w:vAlign w:val="center"/>
          </w:tcPr>
          <w:p w14:paraId="2B93ABE5" w14:textId="77777777" w:rsidR="00A606EC" w:rsidRPr="001908EE" w:rsidRDefault="00BC1529" w:rsidP="00B8022B">
            <w:pPr>
              <w:jc w:val="center"/>
              <w:rPr>
                <w:lang w:val="en-US"/>
              </w:rPr>
            </w:pPr>
            <w:r w:rsidRPr="001908EE">
              <w:rPr>
                <w:lang w:val="en-US"/>
              </w:rPr>
              <w:t>N</w:t>
            </w:r>
          </w:p>
        </w:tc>
        <w:tc>
          <w:tcPr>
            <w:tcW w:w="1440" w:type="dxa"/>
            <w:shd w:val="clear" w:color="auto" w:fill="2E3192"/>
            <w:tcMar>
              <w:top w:w="0" w:type="dxa"/>
              <w:left w:w="0" w:type="dxa"/>
              <w:bottom w:w="0" w:type="dxa"/>
              <w:right w:w="0" w:type="dxa"/>
            </w:tcMar>
            <w:vAlign w:val="center"/>
          </w:tcPr>
          <w:p w14:paraId="5B363D97" w14:textId="77777777" w:rsidR="00A606EC" w:rsidRPr="001908EE" w:rsidRDefault="00BC1529" w:rsidP="00B8022B">
            <w:pPr>
              <w:jc w:val="center"/>
              <w:rPr>
                <w:lang w:val="en-US"/>
              </w:rPr>
            </w:pPr>
            <w:r w:rsidRPr="001908EE">
              <w:rPr>
                <w:lang w:val="en-US"/>
              </w:rPr>
              <w:t>Fall RIT 2013</w:t>
            </w:r>
          </w:p>
        </w:tc>
        <w:tc>
          <w:tcPr>
            <w:tcW w:w="1728" w:type="dxa"/>
            <w:shd w:val="clear" w:color="auto" w:fill="2E3192"/>
            <w:tcMar>
              <w:top w:w="0" w:type="dxa"/>
              <w:left w:w="0" w:type="dxa"/>
              <w:bottom w:w="0" w:type="dxa"/>
              <w:right w:w="0" w:type="dxa"/>
            </w:tcMar>
            <w:vAlign w:val="center"/>
          </w:tcPr>
          <w:p w14:paraId="4AE5BC0C" w14:textId="77777777" w:rsidR="00A606EC" w:rsidRPr="001908EE" w:rsidRDefault="00BC1529" w:rsidP="00B8022B">
            <w:pPr>
              <w:jc w:val="center"/>
              <w:rPr>
                <w:lang w:val="en-US"/>
              </w:rPr>
            </w:pPr>
            <w:r w:rsidRPr="001908EE">
              <w:rPr>
                <w:lang w:val="en-US"/>
              </w:rPr>
              <w:t>Spring RIT 2014</w:t>
            </w:r>
          </w:p>
        </w:tc>
        <w:tc>
          <w:tcPr>
            <w:tcW w:w="1260" w:type="dxa"/>
            <w:shd w:val="clear" w:color="auto" w:fill="2E3192"/>
            <w:tcMar>
              <w:top w:w="0" w:type="dxa"/>
              <w:left w:w="0" w:type="dxa"/>
              <w:bottom w:w="0" w:type="dxa"/>
              <w:right w:w="0" w:type="dxa"/>
            </w:tcMar>
            <w:vAlign w:val="center"/>
          </w:tcPr>
          <w:p w14:paraId="6A6BEB4D" w14:textId="77777777" w:rsidR="00A606EC" w:rsidRPr="001908EE" w:rsidRDefault="00BC1529" w:rsidP="00B8022B">
            <w:pPr>
              <w:jc w:val="center"/>
              <w:rPr>
                <w:lang w:val="en-US"/>
              </w:rPr>
            </w:pPr>
            <w:r w:rsidRPr="001908EE">
              <w:rPr>
                <w:lang w:val="en-US"/>
              </w:rPr>
              <w:t>RIT Gain</w:t>
            </w:r>
          </w:p>
        </w:tc>
        <w:tc>
          <w:tcPr>
            <w:tcW w:w="3600" w:type="dxa"/>
            <w:shd w:val="clear" w:color="auto" w:fill="2E3192"/>
            <w:tcMar>
              <w:top w:w="0" w:type="dxa"/>
              <w:left w:w="0" w:type="dxa"/>
              <w:bottom w:w="0" w:type="dxa"/>
              <w:right w:w="0" w:type="dxa"/>
            </w:tcMar>
            <w:vAlign w:val="center"/>
          </w:tcPr>
          <w:p w14:paraId="492EEC19" w14:textId="77777777" w:rsidR="00A606EC" w:rsidRPr="001908EE" w:rsidRDefault="00BC1529" w:rsidP="00B8022B">
            <w:pPr>
              <w:jc w:val="center"/>
              <w:rPr>
                <w:lang w:val="en-US"/>
              </w:rPr>
            </w:pPr>
            <w:r w:rsidRPr="001908EE">
              <w:rPr>
                <w:lang w:val="en-US"/>
              </w:rPr>
              <w:t>Gap to National Norm Reduced by...</w:t>
            </w:r>
          </w:p>
        </w:tc>
      </w:tr>
      <w:tr w:rsidR="00A606EC" w:rsidRPr="001908EE" w14:paraId="43157AD8" w14:textId="77777777" w:rsidTr="00B8022B">
        <w:trPr>
          <w:trHeight w:val="288"/>
        </w:trPr>
        <w:tc>
          <w:tcPr>
            <w:tcW w:w="1560" w:type="dxa"/>
            <w:shd w:val="clear" w:color="auto" w:fill="auto"/>
            <w:tcMar>
              <w:top w:w="0" w:type="dxa"/>
              <w:left w:w="0" w:type="dxa"/>
              <w:bottom w:w="0" w:type="dxa"/>
              <w:right w:w="0" w:type="dxa"/>
            </w:tcMar>
            <w:vAlign w:val="center"/>
          </w:tcPr>
          <w:p w14:paraId="141CFBF2" w14:textId="77777777" w:rsidR="00A606EC" w:rsidRPr="001908EE" w:rsidRDefault="00BC1529" w:rsidP="00B8022B">
            <w:pPr>
              <w:jc w:val="center"/>
              <w:rPr>
                <w:lang w:val="en-US"/>
              </w:rPr>
            </w:pPr>
            <w:r w:rsidRPr="001908EE">
              <w:rPr>
                <w:lang w:val="en-US"/>
              </w:rPr>
              <w:t>6th</w:t>
            </w:r>
          </w:p>
        </w:tc>
        <w:tc>
          <w:tcPr>
            <w:tcW w:w="630" w:type="dxa"/>
            <w:shd w:val="clear" w:color="auto" w:fill="auto"/>
            <w:tcMar>
              <w:top w:w="0" w:type="dxa"/>
              <w:left w:w="0" w:type="dxa"/>
              <w:bottom w:w="0" w:type="dxa"/>
              <w:right w:w="0" w:type="dxa"/>
            </w:tcMar>
            <w:vAlign w:val="center"/>
          </w:tcPr>
          <w:p w14:paraId="36FA2963" w14:textId="77777777" w:rsidR="00A606EC" w:rsidRPr="001908EE" w:rsidRDefault="00BC1529" w:rsidP="00B8022B">
            <w:pPr>
              <w:jc w:val="center"/>
              <w:rPr>
                <w:lang w:val="en-US"/>
              </w:rPr>
            </w:pPr>
            <w:r w:rsidRPr="001908EE">
              <w:rPr>
                <w:lang w:val="en-US"/>
              </w:rPr>
              <w:t>24</w:t>
            </w:r>
          </w:p>
        </w:tc>
        <w:tc>
          <w:tcPr>
            <w:tcW w:w="1440" w:type="dxa"/>
            <w:shd w:val="clear" w:color="auto" w:fill="auto"/>
            <w:tcMar>
              <w:top w:w="0" w:type="dxa"/>
              <w:left w:w="0" w:type="dxa"/>
              <w:bottom w:w="0" w:type="dxa"/>
              <w:right w:w="0" w:type="dxa"/>
            </w:tcMar>
            <w:vAlign w:val="center"/>
          </w:tcPr>
          <w:p w14:paraId="361296D4" w14:textId="77777777" w:rsidR="00A606EC" w:rsidRPr="001908EE" w:rsidRDefault="00BC1529" w:rsidP="00B8022B">
            <w:pPr>
              <w:jc w:val="center"/>
              <w:rPr>
                <w:lang w:val="en-US"/>
              </w:rPr>
            </w:pPr>
            <w:r w:rsidRPr="001908EE">
              <w:rPr>
                <w:lang w:val="en-US"/>
              </w:rPr>
              <w:t>200.7</w:t>
            </w:r>
          </w:p>
        </w:tc>
        <w:tc>
          <w:tcPr>
            <w:tcW w:w="1728" w:type="dxa"/>
            <w:shd w:val="clear" w:color="auto" w:fill="auto"/>
            <w:tcMar>
              <w:top w:w="0" w:type="dxa"/>
              <w:left w:w="0" w:type="dxa"/>
              <w:bottom w:w="0" w:type="dxa"/>
              <w:right w:w="0" w:type="dxa"/>
            </w:tcMar>
            <w:vAlign w:val="center"/>
          </w:tcPr>
          <w:p w14:paraId="02311105" w14:textId="77777777" w:rsidR="00A606EC" w:rsidRPr="001908EE" w:rsidRDefault="00BC1529" w:rsidP="00B8022B">
            <w:pPr>
              <w:jc w:val="center"/>
              <w:rPr>
                <w:lang w:val="en-US"/>
              </w:rPr>
            </w:pPr>
            <w:r w:rsidRPr="001908EE">
              <w:rPr>
                <w:lang w:val="en-US"/>
              </w:rPr>
              <w:t>212.9</w:t>
            </w:r>
          </w:p>
        </w:tc>
        <w:tc>
          <w:tcPr>
            <w:tcW w:w="1260" w:type="dxa"/>
            <w:shd w:val="clear" w:color="auto" w:fill="auto"/>
            <w:tcMar>
              <w:top w:w="0" w:type="dxa"/>
              <w:left w:w="0" w:type="dxa"/>
              <w:bottom w:w="0" w:type="dxa"/>
              <w:right w:w="0" w:type="dxa"/>
            </w:tcMar>
            <w:vAlign w:val="center"/>
          </w:tcPr>
          <w:p w14:paraId="2F66A3AA" w14:textId="77777777" w:rsidR="00A606EC" w:rsidRPr="001908EE" w:rsidRDefault="00BC1529" w:rsidP="00B8022B">
            <w:pPr>
              <w:jc w:val="center"/>
              <w:rPr>
                <w:lang w:val="en-US"/>
              </w:rPr>
            </w:pPr>
            <w:r w:rsidRPr="001908EE">
              <w:rPr>
                <w:lang w:val="en-US"/>
              </w:rPr>
              <w:t>12.3*</w:t>
            </w:r>
          </w:p>
        </w:tc>
        <w:tc>
          <w:tcPr>
            <w:tcW w:w="3600" w:type="dxa"/>
            <w:shd w:val="clear" w:color="auto" w:fill="auto"/>
            <w:tcMar>
              <w:top w:w="0" w:type="dxa"/>
              <w:left w:w="0" w:type="dxa"/>
              <w:bottom w:w="0" w:type="dxa"/>
              <w:right w:w="0" w:type="dxa"/>
            </w:tcMar>
            <w:vAlign w:val="center"/>
          </w:tcPr>
          <w:p w14:paraId="0FA1891B" w14:textId="77777777" w:rsidR="00A606EC" w:rsidRPr="001908EE" w:rsidRDefault="00BC1529" w:rsidP="00B8022B">
            <w:pPr>
              <w:jc w:val="center"/>
              <w:rPr>
                <w:lang w:val="en-US"/>
              </w:rPr>
            </w:pPr>
            <w:r w:rsidRPr="001908EE">
              <w:rPr>
                <w:lang w:val="en-US"/>
              </w:rPr>
              <w:t>8.1</w:t>
            </w:r>
          </w:p>
        </w:tc>
      </w:tr>
      <w:tr w:rsidR="00A606EC" w:rsidRPr="001908EE" w14:paraId="624F7215" w14:textId="77777777" w:rsidTr="00B8022B">
        <w:trPr>
          <w:trHeight w:val="288"/>
        </w:trPr>
        <w:tc>
          <w:tcPr>
            <w:tcW w:w="1560" w:type="dxa"/>
            <w:shd w:val="clear" w:color="auto" w:fill="auto"/>
            <w:tcMar>
              <w:top w:w="0" w:type="dxa"/>
              <w:left w:w="0" w:type="dxa"/>
              <w:bottom w:w="0" w:type="dxa"/>
              <w:right w:w="0" w:type="dxa"/>
            </w:tcMar>
            <w:vAlign w:val="center"/>
          </w:tcPr>
          <w:p w14:paraId="2A16867D" w14:textId="77777777" w:rsidR="00A606EC" w:rsidRPr="001908EE" w:rsidRDefault="00BC1529" w:rsidP="00B8022B">
            <w:pPr>
              <w:jc w:val="center"/>
              <w:rPr>
                <w:lang w:val="en-US"/>
              </w:rPr>
            </w:pPr>
            <w:r w:rsidRPr="001908EE">
              <w:rPr>
                <w:lang w:val="en-US"/>
              </w:rPr>
              <w:t>7th</w:t>
            </w:r>
          </w:p>
        </w:tc>
        <w:tc>
          <w:tcPr>
            <w:tcW w:w="630" w:type="dxa"/>
            <w:shd w:val="clear" w:color="auto" w:fill="auto"/>
            <w:tcMar>
              <w:top w:w="0" w:type="dxa"/>
              <w:left w:w="0" w:type="dxa"/>
              <w:bottom w:w="0" w:type="dxa"/>
              <w:right w:w="0" w:type="dxa"/>
            </w:tcMar>
            <w:vAlign w:val="center"/>
          </w:tcPr>
          <w:p w14:paraId="3D3230F8" w14:textId="77777777" w:rsidR="00A606EC" w:rsidRPr="001908EE" w:rsidRDefault="00BC1529" w:rsidP="00B8022B">
            <w:pPr>
              <w:jc w:val="center"/>
              <w:rPr>
                <w:lang w:val="en-US"/>
              </w:rPr>
            </w:pPr>
            <w:r w:rsidRPr="001908EE">
              <w:rPr>
                <w:lang w:val="en-US"/>
              </w:rPr>
              <w:t>18</w:t>
            </w:r>
          </w:p>
        </w:tc>
        <w:tc>
          <w:tcPr>
            <w:tcW w:w="1440" w:type="dxa"/>
            <w:shd w:val="clear" w:color="auto" w:fill="auto"/>
            <w:tcMar>
              <w:top w:w="0" w:type="dxa"/>
              <w:left w:w="0" w:type="dxa"/>
              <w:bottom w:w="0" w:type="dxa"/>
              <w:right w:w="0" w:type="dxa"/>
            </w:tcMar>
            <w:vAlign w:val="center"/>
          </w:tcPr>
          <w:p w14:paraId="498D5F7A" w14:textId="77777777" w:rsidR="00A606EC" w:rsidRPr="001908EE" w:rsidRDefault="00BC1529" w:rsidP="00B8022B">
            <w:pPr>
              <w:jc w:val="center"/>
              <w:rPr>
                <w:lang w:val="en-US"/>
              </w:rPr>
            </w:pPr>
            <w:r w:rsidRPr="001908EE">
              <w:rPr>
                <w:lang w:val="en-US"/>
              </w:rPr>
              <w:t>208.3</w:t>
            </w:r>
          </w:p>
        </w:tc>
        <w:tc>
          <w:tcPr>
            <w:tcW w:w="1728" w:type="dxa"/>
            <w:shd w:val="clear" w:color="auto" w:fill="auto"/>
            <w:tcMar>
              <w:top w:w="0" w:type="dxa"/>
              <w:left w:w="0" w:type="dxa"/>
              <w:bottom w:w="0" w:type="dxa"/>
              <w:right w:w="0" w:type="dxa"/>
            </w:tcMar>
            <w:vAlign w:val="center"/>
          </w:tcPr>
          <w:p w14:paraId="4F94ACCD" w14:textId="77777777" w:rsidR="00A606EC" w:rsidRPr="001908EE" w:rsidRDefault="00BC1529" w:rsidP="00B8022B">
            <w:pPr>
              <w:jc w:val="center"/>
              <w:rPr>
                <w:lang w:val="en-US"/>
              </w:rPr>
            </w:pPr>
            <w:r w:rsidRPr="001908EE">
              <w:rPr>
                <w:lang w:val="en-US"/>
              </w:rPr>
              <w:t>212.7</w:t>
            </w:r>
          </w:p>
        </w:tc>
        <w:tc>
          <w:tcPr>
            <w:tcW w:w="1260" w:type="dxa"/>
            <w:shd w:val="clear" w:color="auto" w:fill="auto"/>
            <w:tcMar>
              <w:top w:w="0" w:type="dxa"/>
              <w:left w:w="0" w:type="dxa"/>
              <w:bottom w:w="0" w:type="dxa"/>
              <w:right w:w="0" w:type="dxa"/>
            </w:tcMar>
            <w:vAlign w:val="center"/>
          </w:tcPr>
          <w:p w14:paraId="15B61A61" w14:textId="77777777" w:rsidR="00A606EC" w:rsidRPr="001908EE" w:rsidRDefault="00BC1529" w:rsidP="00B8022B">
            <w:pPr>
              <w:jc w:val="center"/>
              <w:rPr>
                <w:lang w:val="en-US"/>
              </w:rPr>
            </w:pPr>
            <w:r w:rsidRPr="001908EE">
              <w:rPr>
                <w:lang w:val="en-US"/>
              </w:rPr>
              <w:t>4.3</w:t>
            </w:r>
          </w:p>
        </w:tc>
        <w:tc>
          <w:tcPr>
            <w:tcW w:w="3600" w:type="dxa"/>
            <w:shd w:val="clear" w:color="auto" w:fill="auto"/>
            <w:tcMar>
              <w:top w:w="0" w:type="dxa"/>
              <w:left w:w="0" w:type="dxa"/>
              <w:bottom w:w="0" w:type="dxa"/>
              <w:right w:w="0" w:type="dxa"/>
            </w:tcMar>
            <w:vAlign w:val="center"/>
          </w:tcPr>
          <w:p w14:paraId="061EAFEB" w14:textId="77777777" w:rsidR="00A606EC" w:rsidRPr="001908EE" w:rsidRDefault="00BC1529" w:rsidP="00B8022B">
            <w:pPr>
              <w:jc w:val="center"/>
              <w:rPr>
                <w:lang w:val="en-US"/>
              </w:rPr>
            </w:pPr>
            <w:r w:rsidRPr="001908EE">
              <w:rPr>
                <w:lang w:val="en-US"/>
              </w:rPr>
              <w:t>1.0</w:t>
            </w:r>
          </w:p>
        </w:tc>
      </w:tr>
      <w:tr w:rsidR="00A606EC" w:rsidRPr="001908EE" w14:paraId="172E6A48" w14:textId="77777777" w:rsidTr="00B8022B">
        <w:trPr>
          <w:trHeight w:val="288"/>
        </w:trPr>
        <w:tc>
          <w:tcPr>
            <w:tcW w:w="1560" w:type="dxa"/>
            <w:shd w:val="clear" w:color="auto" w:fill="auto"/>
            <w:tcMar>
              <w:top w:w="0" w:type="dxa"/>
              <w:left w:w="0" w:type="dxa"/>
              <w:bottom w:w="0" w:type="dxa"/>
              <w:right w:w="0" w:type="dxa"/>
            </w:tcMar>
            <w:vAlign w:val="center"/>
          </w:tcPr>
          <w:p w14:paraId="1CD873CF" w14:textId="77777777" w:rsidR="00A606EC" w:rsidRPr="001908EE" w:rsidRDefault="00BC1529" w:rsidP="00B8022B">
            <w:pPr>
              <w:jc w:val="center"/>
              <w:rPr>
                <w:lang w:val="en-US"/>
              </w:rPr>
            </w:pPr>
            <w:r w:rsidRPr="001908EE">
              <w:rPr>
                <w:lang w:val="en-US"/>
              </w:rPr>
              <w:t>8th</w:t>
            </w:r>
          </w:p>
        </w:tc>
        <w:tc>
          <w:tcPr>
            <w:tcW w:w="630" w:type="dxa"/>
            <w:shd w:val="clear" w:color="auto" w:fill="auto"/>
            <w:tcMar>
              <w:top w:w="0" w:type="dxa"/>
              <w:left w:w="0" w:type="dxa"/>
              <w:bottom w:w="0" w:type="dxa"/>
              <w:right w:w="0" w:type="dxa"/>
            </w:tcMar>
            <w:vAlign w:val="center"/>
          </w:tcPr>
          <w:p w14:paraId="36DFA06B" w14:textId="77777777" w:rsidR="00A606EC" w:rsidRPr="001908EE" w:rsidRDefault="00BC1529" w:rsidP="00B8022B">
            <w:pPr>
              <w:jc w:val="center"/>
              <w:rPr>
                <w:lang w:val="en-US"/>
              </w:rPr>
            </w:pPr>
            <w:r w:rsidRPr="001908EE">
              <w:rPr>
                <w:lang w:val="en-US"/>
              </w:rPr>
              <w:t>23</w:t>
            </w:r>
          </w:p>
        </w:tc>
        <w:tc>
          <w:tcPr>
            <w:tcW w:w="1440" w:type="dxa"/>
            <w:shd w:val="clear" w:color="auto" w:fill="auto"/>
            <w:tcMar>
              <w:top w:w="0" w:type="dxa"/>
              <w:left w:w="0" w:type="dxa"/>
              <w:bottom w:w="0" w:type="dxa"/>
              <w:right w:w="0" w:type="dxa"/>
            </w:tcMar>
            <w:vAlign w:val="center"/>
          </w:tcPr>
          <w:p w14:paraId="3C1A0901" w14:textId="77777777" w:rsidR="00A606EC" w:rsidRPr="001908EE" w:rsidRDefault="00BC1529" w:rsidP="00B8022B">
            <w:pPr>
              <w:jc w:val="center"/>
              <w:rPr>
                <w:lang w:val="en-US"/>
              </w:rPr>
            </w:pPr>
            <w:r w:rsidRPr="001908EE">
              <w:rPr>
                <w:lang w:val="en-US"/>
              </w:rPr>
              <w:t>210.4</w:t>
            </w:r>
          </w:p>
        </w:tc>
        <w:tc>
          <w:tcPr>
            <w:tcW w:w="1728" w:type="dxa"/>
            <w:shd w:val="clear" w:color="auto" w:fill="auto"/>
            <w:tcMar>
              <w:top w:w="0" w:type="dxa"/>
              <w:left w:w="0" w:type="dxa"/>
              <w:bottom w:w="0" w:type="dxa"/>
              <w:right w:w="0" w:type="dxa"/>
            </w:tcMar>
            <w:vAlign w:val="center"/>
          </w:tcPr>
          <w:p w14:paraId="4DD846ED" w14:textId="77777777" w:rsidR="00A606EC" w:rsidRPr="001908EE" w:rsidRDefault="00BC1529" w:rsidP="00B8022B">
            <w:pPr>
              <w:jc w:val="center"/>
              <w:rPr>
                <w:lang w:val="en-US"/>
              </w:rPr>
            </w:pPr>
            <w:r w:rsidRPr="001908EE">
              <w:rPr>
                <w:lang w:val="en-US"/>
              </w:rPr>
              <w:t>219.0</w:t>
            </w:r>
          </w:p>
        </w:tc>
        <w:tc>
          <w:tcPr>
            <w:tcW w:w="1260" w:type="dxa"/>
            <w:shd w:val="clear" w:color="auto" w:fill="auto"/>
            <w:tcMar>
              <w:top w:w="0" w:type="dxa"/>
              <w:left w:w="0" w:type="dxa"/>
              <w:bottom w:w="0" w:type="dxa"/>
              <w:right w:w="0" w:type="dxa"/>
            </w:tcMar>
            <w:vAlign w:val="center"/>
          </w:tcPr>
          <w:p w14:paraId="7D25CA96" w14:textId="77777777" w:rsidR="00A606EC" w:rsidRPr="001908EE" w:rsidRDefault="00BC1529" w:rsidP="00B8022B">
            <w:pPr>
              <w:jc w:val="center"/>
              <w:rPr>
                <w:lang w:val="en-US"/>
              </w:rPr>
            </w:pPr>
            <w:r w:rsidRPr="001908EE">
              <w:rPr>
                <w:lang w:val="en-US"/>
              </w:rPr>
              <w:t>8.6*</w:t>
            </w:r>
          </w:p>
        </w:tc>
        <w:tc>
          <w:tcPr>
            <w:tcW w:w="3600" w:type="dxa"/>
            <w:shd w:val="clear" w:color="auto" w:fill="auto"/>
            <w:tcMar>
              <w:top w:w="0" w:type="dxa"/>
              <w:left w:w="0" w:type="dxa"/>
              <w:bottom w:w="0" w:type="dxa"/>
              <w:right w:w="0" w:type="dxa"/>
            </w:tcMar>
            <w:vAlign w:val="center"/>
          </w:tcPr>
          <w:p w14:paraId="2DD9CA30" w14:textId="77777777" w:rsidR="00A606EC" w:rsidRPr="001908EE" w:rsidRDefault="00BC1529" w:rsidP="00B8022B">
            <w:pPr>
              <w:jc w:val="center"/>
              <w:rPr>
                <w:lang w:val="en-US"/>
              </w:rPr>
            </w:pPr>
            <w:r w:rsidRPr="001908EE">
              <w:rPr>
                <w:lang w:val="en-US"/>
              </w:rPr>
              <w:t>5.5</w:t>
            </w:r>
          </w:p>
        </w:tc>
      </w:tr>
      <w:tr w:rsidR="00A606EC" w:rsidRPr="001908EE" w14:paraId="4ACB7232" w14:textId="77777777" w:rsidTr="00B8022B">
        <w:trPr>
          <w:trHeight w:val="288"/>
        </w:trPr>
        <w:tc>
          <w:tcPr>
            <w:tcW w:w="1560" w:type="dxa"/>
            <w:shd w:val="clear" w:color="auto" w:fill="auto"/>
            <w:tcMar>
              <w:top w:w="0" w:type="dxa"/>
              <w:left w:w="0" w:type="dxa"/>
              <w:bottom w:w="0" w:type="dxa"/>
              <w:right w:w="0" w:type="dxa"/>
            </w:tcMar>
            <w:vAlign w:val="center"/>
          </w:tcPr>
          <w:p w14:paraId="6AB013A3" w14:textId="77777777" w:rsidR="00A606EC" w:rsidRPr="001908EE" w:rsidRDefault="00BC1529" w:rsidP="00B8022B">
            <w:pPr>
              <w:jc w:val="center"/>
              <w:rPr>
                <w:lang w:val="en-US"/>
              </w:rPr>
            </w:pPr>
            <w:r w:rsidRPr="001908EE">
              <w:rPr>
                <w:lang w:val="en-US"/>
              </w:rPr>
              <w:t>9th</w:t>
            </w:r>
          </w:p>
        </w:tc>
        <w:tc>
          <w:tcPr>
            <w:tcW w:w="630" w:type="dxa"/>
            <w:shd w:val="clear" w:color="auto" w:fill="auto"/>
            <w:tcMar>
              <w:top w:w="0" w:type="dxa"/>
              <w:left w:w="0" w:type="dxa"/>
              <w:bottom w:w="0" w:type="dxa"/>
              <w:right w:w="0" w:type="dxa"/>
            </w:tcMar>
            <w:vAlign w:val="center"/>
          </w:tcPr>
          <w:p w14:paraId="7FEE38FD" w14:textId="77777777" w:rsidR="00A606EC" w:rsidRPr="001908EE" w:rsidRDefault="00BC1529" w:rsidP="00B8022B">
            <w:pPr>
              <w:jc w:val="center"/>
              <w:rPr>
                <w:lang w:val="en-US"/>
              </w:rPr>
            </w:pPr>
            <w:r w:rsidRPr="001908EE">
              <w:rPr>
                <w:lang w:val="en-US"/>
              </w:rPr>
              <w:t>29</w:t>
            </w:r>
          </w:p>
        </w:tc>
        <w:tc>
          <w:tcPr>
            <w:tcW w:w="1440" w:type="dxa"/>
            <w:shd w:val="clear" w:color="auto" w:fill="auto"/>
            <w:tcMar>
              <w:top w:w="0" w:type="dxa"/>
              <w:left w:w="0" w:type="dxa"/>
              <w:bottom w:w="0" w:type="dxa"/>
              <w:right w:w="0" w:type="dxa"/>
            </w:tcMar>
            <w:vAlign w:val="center"/>
          </w:tcPr>
          <w:p w14:paraId="710D4DE0" w14:textId="77777777" w:rsidR="00A606EC" w:rsidRPr="001908EE" w:rsidRDefault="00BC1529" w:rsidP="00B8022B">
            <w:pPr>
              <w:jc w:val="center"/>
              <w:rPr>
                <w:lang w:val="en-US"/>
              </w:rPr>
            </w:pPr>
            <w:r w:rsidRPr="001908EE">
              <w:rPr>
                <w:lang w:val="en-US"/>
              </w:rPr>
              <w:t>225.8</w:t>
            </w:r>
          </w:p>
        </w:tc>
        <w:tc>
          <w:tcPr>
            <w:tcW w:w="1728" w:type="dxa"/>
            <w:shd w:val="clear" w:color="auto" w:fill="auto"/>
            <w:tcMar>
              <w:top w:w="0" w:type="dxa"/>
              <w:left w:w="0" w:type="dxa"/>
              <w:bottom w:w="0" w:type="dxa"/>
              <w:right w:w="0" w:type="dxa"/>
            </w:tcMar>
            <w:vAlign w:val="center"/>
          </w:tcPr>
          <w:p w14:paraId="26716FE8" w14:textId="77777777" w:rsidR="00A606EC" w:rsidRPr="001908EE" w:rsidRDefault="00BC1529" w:rsidP="00B8022B">
            <w:pPr>
              <w:jc w:val="center"/>
              <w:rPr>
                <w:lang w:val="en-US"/>
              </w:rPr>
            </w:pPr>
            <w:r w:rsidRPr="001908EE">
              <w:rPr>
                <w:lang w:val="en-US"/>
              </w:rPr>
              <w:t>229.8</w:t>
            </w:r>
          </w:p>
        </w:tc>
        <w:tc>
          <w:tcPr>
            <w:tcW w:w="1260" w:type="dxa"/>
            <w:shd w:val="clear" w:color="auto" w:fill="auto"/>
            <w:tcMar>
              <w:top w:w="0" w:type="dxa"/>
              <w:left w:w="0" w:type="dxa"/>
              <w:bottom w:w="0" w:type="dxa"/>
              <w:right w:w="0" w:type="dxa"/>
            </w:tcMar>
            <w:vAlign w:val="center"/>
          </w:tcPr>
          <w:p w14:paraId="68DECF8D" w14:textId="77777777" w:rsidR="00A606EC" w:rsidRPr="001908EE" w:rsidRDefault="00BC1529" w:rsidP="00B8022B">
            <w:pPr>
              <w:jc w:val="center"/>
              <w:rPr>
                <w:lang w:val="en-US"/>
              </w:rPr>
            </w:pPr>
            <w:r w:rsidRPr="001908EE">
              <w:rPr>
                <w:lang w:val="en-US"/>
              </w:rPr>
              <w:t>4.0*</w:t>
            </w:r>
          </w:p>
        </w:tc>
        <w:tc>
          <w:tcPr>
            <w:tcW w:w="3600" w:type="dxa"/>
            <w:shd w:val="clear" w:color="auto" w:fill="auto"/>
            <w:tcMar>
              <w:top w:w="0" w:type="dxa"/>
              <w:left w:w="0" w:type="dxa"/>
              <w:bottom w:w="0" w:type="dxa"/>
              <w:right w:w="0" w:type="dxa"/>
            </w:tcMar>
            <w:vAlign w:val="center"/>
          </w:tcPr>
          <w:p w14:paraId="46CD3DDF" w14:textId="77777777" w:rsidR="00A606EC" w:rsidRPr="001908EE" w:rsidRDefault="00BC1529" w:rsidP="00B8022B">
            <w:pPr>
              <w:jc w:val="center"/>
              <w:rPr>
                <w:lang w:val="en-US"/>
              </w:rPr>
            </w:pPr>
            <w:r w:rsidRPr="001908EE">
              <w:rPr>
                <w:lang w:val="en-US"/>
              </w:rPr>
              <w:t>**</w:t>
            </w:r>
          </w:p>
        </w:tc>
      </w:tr>
      <w:tr w:rsidR="00A606EC" w:rsidRPr="001908EE" w14:paraId="2600CB67" w14:textId="77777777" w:rsidTr="00B8022B">
        <w:trPr>
          <w:trHeight w:val="288"/>
        </w:trPr>
        <w:tc>
          <w:tcPr>
            <w:tcW w:w="1560" w:type="dxa"/>
            <w:shd w:val="clear" w:color="auto" w:fill="auto"/>
            <w:tcMar>
              <w:top w:w="0" w:type="dxa"/>
              <w:left w:w="0" w:type="dxa"/>
              <w:bottom w:w="0" w:type="dxa"/>
              <w:right w:w="0" w:type="dxa"/>
            </w:tcMar>
            <w:vAlign w:val="center"/>
          </w:tcPr>
          <w:p w14:paraId="79E8CE5D" w14:textId="77777777" w:rsidR="00A606EC" w:rsidRPr="001908EE" w:rsidRDefault="00BC1529" w:rsidP="00B8022B">
            <w:pPr>
              <w:jc w:val="center"/>
              <w:rPr>
                <w:lang w:val="en-US"/>
              </w:rPr>
            </w:pPr>
            <w:r w:rsidRPr="001908EE">
              <w:rPr>
                <w:lang w:val="en-US"/>
              </w:rPr>
              <w:t>10th</w:t>
            </w:r>
          </w:p>
        </w:tc>
        <w:tc>
          <w:tcPr>
            <w:tcW w:w="630" w:type="dxa"/>
            <w:shd w:val="clear" w:color="auto" w:fill="auto"/>
            <w:tcMar>
              <w:top w:w="0" w:type="dxa"/>
              <w:left w:w="0" w:type="dxa"/>
              <w:bottom w:w="0" w:type="dxa"/>
              <w:right w:w="0" w:type="dxa"/>
            </w:tcMar>
            <w:vAlign w:val="center"/>
          </w:tcPr>
          <w:p w14:paraId="7341BCB2" w14:textId="77777777" w:rsidR="00A606EC" w:rsidRPr="001908EE" w:rsidRDefault="00BC1529" w:rsidP="00B8022B">
            <w:pPr>
              <w:jc w:val="center"/>
              <w:rPr>
                <w:lang w:val="en-US"/>
              </w:rPr>
            </w:pPr>
            <w:r w:rsidRPr="001908EE">
              <w:rPr>
                <w:lang w:val="en-US"/>
              </w:rPr>
              <w:t>15</w:t>
            </w:r>
          </w:p>
        </w:tc>
        <w:tc>
          <w:tcPr>
            <w:tcW w:w="1440" w:type="dxa"/>
            <w:shd w:val="clear" w:color="auto" w:fill="auto"/>
            <w:tcMar>
              <w:top w:w="0" w:type="dxa"/>
              <w:left w:w="0" w:type="dxa"/>
              <w:bottom w:w="0" w:type="dxa"/>
              <w:right w:w="0" w:type="dxa"/>
            </w:tcMar>
            <w:vAlign w:val="center"/>
          </w:tcPr>
          <w:p w14:paraId="3BF0DCB2" w14:textId="77777777" w:rsidR="00A606EC" w:rsidRPr="001908EE" w:rsidRDefault="00BC1529" w:rsidP="00B8022B">
            <w:pPr>
              <w:jc w:val="center"/>
              <w:rPr>
                <w:lang w:val="en-US"/>
              </w:rPr>
            </w:pPr>
            <w:r w:rsidRPr="001908EE">
              <w:rPr>
                <w:lang w:val="en-US"/>
              </w:rPr>
              <w:t>228.1</w:t>
            </w:r>
          </w:p>
        </w:tc>
        <w:tc>
          <w:tcPr>
            <w:tcW w:w="1728" w:type="dxa"/>
            <w:shd w:val="clear" w:color="auto" w:fill="auto"/>
            <w:tcMar>
              <w:top w:w="0" w:type="dxa"/>
              <w:left w:w="0" w:type="dxa"/>
              <w:bottom w:w="0" w:type="dxa"/>
              <w:right w:w="0" w:type="dxa"/>
            </w:tcMar>
            <w:vAlign w:val="center"/>
          </w:tcPr>
          <w:p w14:paraId="224F5F06" w14:textId="77777777" w:rsidR="00A606EC" w:rsidRPr="001908EE" w:rsidRDefault="00BC1529" w:rsidP="00B8022B">
            <w:pPr>
              <w:jc w:val="center"/>
              <w:rPr>
                <w:lang w:val="en-US"/>
              </w:rPr>
            </w:pPr>
            <w:r w:rsidRPr="001908EE">
              <w:rPr>
                <w:lang w:val="en-US"/>
              </w:rPr>
              <w:t>230.7</w:t>
            </w:r>
          </w:p>
        </w:tc>
        <w:tc>
          <w:tcPr>
            <w:tcW w:w="1260" w:type="dxa"/>
            <w:shd w:val="clear" w:color="auto" w:fill="auto"/>
            <w:tcMar>
              <w:top w:w="0" w:type="dxa"/>
              <w:left w:w="0" w:type="dxa"/>
              <w:bottom w:w="0" w:type="dxa"/>
              <w:right w:w="0" w:type="dxa"/>
            </w:tcMar>
            <w:vAlign w:val="center"/>
          </w:tcPr>
          <w:p w14:paraId="59FD3229" w14:textId="77777777" w:rsidR="00A606EC" w:rsidRPr="001908EE" w:rsidRDefault="00BC1529" w:rsidP="00B8022B">
            <w:pPr>
              <w:jc w:val="center"/>
              <w:rPr>
                <w:lang w:val="en-US"/>
              </w:rPr>
            </w:pPr>
            <w:r w:rsidRPr="001908EE">
              <w:rPr>
                <w:lang w:val="en-US"/>
              </w:rPr>
              <w:t>2.7</w:t>
            </w:r>
          </w:p>
        </w:tc>
        <w:tc>
          <w:tcPr>
            <w:tcW w:w="3600" w:type="dxa"/>
            <w:shd w:val="clear" w:color="auto" w:fill="auto"/>
            <w:tcMar>
              <w:top w:w="0" w:type="dxa"/>
              <w:left w:w="0" w:type="dxa"/>
              <w:bottom w:w="0" w:type="dxa"/>
              <w:right w:w="0" w:type="dxa"/>
            </w:tcMar>
            <w:vAlign w:val="center"/>
          </w:tcPr>
          <w:p w14:paraId="617A2596" w14:textId="77777777" w:rsidR="00A606EC" w:rsidRPr="001908EE" w:rsidRDefault="00BC1529" w:rsidP="00B8022B">
            <w:pPr>
              <w:jc w:val="center"/>
              <w:rPr>
                <w:lang w:val="en-US"/>
              </w:rPr>
            </w:pPr>
            <w:r w:rsidRPr="001908EE">
              <w:rPr>
                <w:lang w:val="en-US"/>
              </w:rPr>
              <w:t>**</w:t>
            </w:r>
          </w:p>
        </w:tc>
      </w:tr>
      <w:tr w:rsidR="00A606EC" w:rsidRPr="001908EE" w14:paraId="3C5B4F27" w14:textId="77777777" w:rsidTr="00B8022B">
        <w:trPr>
          <w:trHeight w:val="288"/>
        </w:trPr>
        <w:tc>
          <w:tcPr>
            <w:tcW w:w="1560" w:type="dxa"/>
            <w:shd w:val="clear" w:color="auto" w:fill="auto"/>
            <w:tcMar>
              <w:top w:w="0" w:type="dxa"/>
              <w:left w:w="0" w:type="dxa"/>
              <w:bottom w:w="0" w:type="dxa"/>
              <w:right w:w="0" w:type="dxa"/>
            </w:tcMar>
            <w:vAlign w:val="center"/>
          </w:tcPr>
          <w:p w14:paraId="0787F514" w14:textId="77777777" w:rsidR="00A606EC" w:rsidRPr="001908EE" w:rsidRDefault="00BC1529" w:rsidP="00B8022B">
            <w:pPr>
              <w:jc w:val="center"/>
              <w:rPr>
                <w:lang w:val="en-US"/>
              </w:rPr>
            </w:pPr>
            <w:r w:rsidRPr="001908EE">
              <w:rPr>
                <w:lang w:val="en-US"/>
              </w:rPr>
              <w:t>11th</w:t>
            </w:r>
          </w:p>
        </w:tc>
        <w:tc>
          <w:tcPr>
            <w:tcW w:w="630" w:type="dxa"/>
            <w:shd w:val="clear" w:color="auto" w:fill="auto"/>
            <w:tcMar>
              <w:top w:w="0" w:type="dxa"/>
              <w:left w:w="0" w:type="dxa"/>
              <w:bottom w:w="0" w:type="dxa"/>
              <w:right w:w="0" w:type="dxa"/>
            </w:tcMar>
            <w:vAlign w:val="center"/>
          </w:tcPr>
          <w:p w14:paraId="05D1BEC2" w14:textId="77777777" w:rsidR="00A606EC" w:rsidRPr="001908EE" w:rsidRDefault="00BC1529" w:rsidP="00B8022B">
            <w:pPr>
              <w:jc w:val="center"/>
              <w:rPr>
                <w:lang w:val="en-US"/>
              </w:rPr>
            </w:pPr>
            <w:r w:rsidRPr="001908EE">
              <w:rPr>
                <w:lang w:val="en-US"/>
              </w:rPr>
              <w:t>21</w:t>
            </w:r>
          </w:p>
        </w:tc>
        <w:tc>
          <w:tcPr>
            <w:tcW w:w="1440" w:type="dxa"/>
            <w:shd w:val="clear" w:color="auto" w:fill="auto"/>
            <w:tcMar>
              <w:top w:w="0" w:type="dxa"/>
              <w:left w:w="0" w:type="dxa"/>
              <w:bottom w:w="0" w:type="dxa"/>
              <w:right w:w="0" w:type="dxa"/>
            </w:tcMar>
            <w:vAlign w:val="center"/>
          </w:tcPr>
          <w:p w14:paraId="5A8FDEAF" w14:textId="77777777" w:rsidR="00A606EC" w:rsidRPr="001908EE" w:rsidRDefault="00BC1529" w:rsidP="00B8022B">
            <w:pPr>
              <w:jc w:val="center"/>
              <w:rPr>
                <w:lang w:val="en-US"/>
              </w:rPr>
            </w:pPr>
            <w:r w:rsidRPr="001908EE">
              <w:rPr>
                <w:lang w:val="en-US"/>
              </w:rPr>
              <w:t>231.2</w:t>
            </w:r>
          </w:p>
        </w:tc>
        <w:tc>
          <w:tcPr>
            <w:tcW w:w="1728" w:type="dxa"/>
            <w:shd w:val="clear" w:color="auto" w:fill="auto"/>
            <w:tcMar>
              <w:top w:w="0" w:type="dxa"/>
              <w:left w:w="0" w:type="dxa"/>
              <w:bottom w:w="0" w:type="dxa"/>
              <w:right w:w="0" w:type="dxa"/>
            </w:tcMar>
            <w:vAlign w:val="center"/>
          </w:tcPr>
          <w:p w14:paraId="5C5EC0FB" w14:textId="77777777" w:rsidR="00A606EC" w:rsidRPr="001908EE" w:rsidRDefault="00BC1529" w:rsidP="00B8022B">
            <w:pPr>
              <w:jc w:val="center"/>
              <w:rPr>
                <w:lang w:val="en-US"/>
              </w:rPr>
            </w:pPr>
            <w:r w:rsidRPr="001908EE">
              <w:rPr>
                <w:lang w:val="en-US"/>
              </w:rPr>
              <w:t>234.5</w:t>
            </w:r>
          </w:p>
        </w:tc>
        <w:tc>
          <w:tcPr>
            <w:tcW w:w="1260" w:type="dxa"/>
            <w:shd w:val="clear" w:color="auto" w:fill="auto"/>
            <w:tcMar>
              <w:top w:w="0" w:type="dxa"/>
              <w:left w:w="0" w:type="dxa"/>
              <w:bottom w:w="0" w:type="dxa"/>
              <w:right w:w="0" w:type="dxa"/>
            </w:tcMar>
            <w:vAlign w:val="center"/>
          </w:tcPr>
          <w:p w14:paraId="3A1E3C1E" w14:textId="77777777" w:rsidR="00A606EC" w:rsidRPr="001908EE" w:rsidRDefault="00BC1529" w:rsidP="00B8022B">
            <w:pPr>
              <w:jc w:val="center"/>
              <w:rPr>
                <w:lang w:val="en-US"/>
              </w:rPr>
            </w:pPr>
            <w:r w:rsidRPr="001908EE">
              <w:rPr>
                <w:lang w:val="en-US"/>
              </w:rPr>
              <w:t>3.3</w:t>
            </w:r>
          </w:p>
        </w:tc>
        <w:tc>
          <w:tcPr>
            <w:tcW w:w="3600" w:type="dxa"/>
            <w:shd w:val="clear" w:color="auto" w:fill="auto"/>
            <w:tcMar>
              <w:top w:w="0" w:type="dxa"/>
              <w:left w:w="0" w:type="dxa"/>
              <w:bottom w:w="0" w:type="dxa"/>
              <w:right w:w="0" w:type="dxa"/>
            </w:tcMar>
            <w:vAlign w:val="center"/>
          </w:tcPr>
          <w:p w14:paraId="34F52A0F" w14:textId="77777777" w:rsidR="00A606EC" w:rsidRPr="001908EE" w:rsidRDefault="00BC1529" w:rsidP="00B8022B">
            <w:pPr>
              <w:jc w:val="center"/>
              <w:rPr>
                <w:lang w:val="en-US"/>
              </w:rPr>
            </w:pPr>
            <w:r w:rsidRPr="001908EE">
              <w:rPr>
                <w:lang w:val="en-US"/>
              </w:rPr>
              <w:t>**</w:t>
            </w:r>
          </w:p>
        </w:tc>
      </w:tr>
      <w:tr w:rsidR="00A606EC" w:rsidRPr="001908EE" w14:paraId="07BD0B83" w14:textId="77777777" w:rsidTr="00B8022B">
        <w:trPr>
          <w:trHeight w:val="288"/>
        </w:trPr>
        <w:tc>
          <w:tcPr>
            <w:tcW w:w="1560" w:type="dxa"/>
            <w:shd w:val="clear" w:color="auto" w:fill="auto"/>
            <w:tcMar>
              <w:top w:w="0" w:type="dxa"/>
              <w:left w:w="0" w:type="dxa"/>
              <w:bottom w:w="0" w:type="dxa"/>
              <w:right w:w="0" w:type="dxa"/>
            </w:tcMar>
            <w:vAlign w:val="center"/>
          </w:tcPr>
          <w:p w14:paraId="15F84C82" w14:textId="77777777" w:rsidR="00A606EC" w:rsidRPr="001908EE" w:rsidRDefault="00BC1529" w:rsidP="00B8022B">
            <w:pPr>
              <w:jc w:val="center"/>
              <w:rPr>
                <w:b/>
                <w:lang w:val="en-US"/>
              </w:rPr>
            </w:pPr>
            <w:r w:rsidRPr="001908EE">
              <w:rPr>
                <w:b/>
                <w:lang w:val="en-US"/>
              </w:rPr>
              <w:t>All Grades</w:t>
            </w:r>
          </w:p>
        </w:tc>
        <w:tc>
          <w:tcPr>
            <w:tcW w:w="630" w:type="dxa"/>
            <w:shd w:val="clear" w:color="auto" w:fill="auto"/>
            <w:tcMar>
              <w:top w:w="0" w:type="dxa"/>
              <w:left w:w="0" w:type="dxa"/>
              <w:bottom w:w="0" w:type="dxa"/>
              <w:right w:w="0" w:type="dxa"/>
            </w:tcMar>
            <w:vAlign w:val="center"/>
          </w:tcPr>
          <w:p w14:paraId="719BD9AF" w14:textId="77777777" w:rsidR="00A606EC" w:rsidRPr="001908EE" w:rsidRDefault="00BC1529" w:rsidP="00B8022B">
            <w:pPr>
              <w:jc w:val="center"/>
              <w:rPr>
                <w:b/>
                <w:lang w:val="en-US"/>
              </w:rPr>
            </w:pPr>
            <w:r w:rsidRPr="001908EE">
              <w:rPr>
                <w:b/>
                <w:lang w:val="en-US"/>
              </w:rPr>
              <w:t>130</w:t>
            </w:r>
          </w:p>
        </w:tc>
        <w:tc>
          <w:tcPr>
            <w:tcW w:w="1440" w:type="dxa"/>
            <w:shd w:val="clear" w:color="auto" w:fill="auto"/>
            <w:tcMar>
              <w:top w:w="0" w:type="dxa"/>
              <w:left w:w="0" w:type="dxa"/>
              <w:bottom w:w="0" w:type="dxa"/>
              <w:right w:w="0" w:type="dxa"/>
            </w:tcMar>
            <w:vAlign w:val="center"/>
          </w:tcPr>
          <w:p w14:paraId="02FB1334" w14:textId="77777777" w:rsidR="00A606EC" w:rsidRPr="001908EE" w:rsidRDefault="00BC1529" w:rsidP="00B8022B">
            <w:pPr>
              <w:jc w:val="center"/>
              <w:rPr>
                <w:b/>
                <w:lang w:val="en-US"/>
              </w:rPr>
            </w:pPr>
            <w:r w:rsidRPr="001908EE">
              <w:rPr>
                <w:b/>
                <w:lang w:val="en-US"/>
              </w:rPr>
              <w:t>217.2</w:t>
            </w:r>
          </w:p>
        </w:tc>
        <w:tc>
          <w:tcPr>
            <w:tcW w:w="1728" w:type="dxa"/>
            <w:shd w:val="clear" w:color="auto" w:fill="auto"/>
            <w:tcMar>
              <w:top w:w="0" w:type="dxa"/>
              <w:left w:w="0" w:type="dxa"/>
              <w:bottom w:w="0" w:type="dxa"/>
              <w:right w:w="0" w:type="dxa"/>
            </w:tcMar>
            <w:vAlign w:val="center"/>
          </w:tcPr>
          <w:p w14:paraId="751C527B" w14:textId="77777777" w:rsidR="00A606EC" w:rsidRPr="001908EE" w:rsidRDefault="00BC1529" w:rsidP="00B8022B">
            <w:pPr>
              <w:jc w:val="center"/>
              <w:rPr>
                <w:b/>
                <w:lang w:val="en-US"/>
              </w:rPr>
            </w:pPr>
            <w:r w:rsidRPr="001908EE">
              <w:rPr>
                <w:b/>
                <w:lang w:val="en-US"/>
              </w:rPr>
              <w:t>223.3</w:t>
            </w:r>
          </w:p>
        </w:tc>
        <w:tc>
          <w:tcPr>
            <w:tcW w:w="1260" w:type="dxa"/>
            <w:shd w:val="clear" w:color="auto" w:fill="auto"/>
            <w:tcMar>
              <w:top w:w="0" w:type="dxa"/>
              <w:left w:w="0" w:type="dxa"/>
              <w:bottom w:w="0" w:type="dxa"/>
              <w:right w:w="0" w:type="dxa"/>
            </w:tcMar>
            <w:vAlign w:val="center"/>
          </w:tcPr>
          <w:p w14:paraId="5A953969" w14:textId="77777777" w:rsidR="00A606EC" w:rsidRPr="001908EE" w:rsidRDefault="00BC1529" w:rsidP="00B8022B">
            <w:pPr>
              <w:jc w:val="center"/>
              <w:rPr>
                <w:b/>
                <w:lang w:val="en-US"/>
              </w:rPr>
            </w:pPr>
            <w:r w:rsidRPr="001908EE">
              <w:rPr>
                <w:b/>
                <w:lang w:val="en-US"/>
              </w:rPr>
              <w:t>6.1*</w:t>
            </w:r>
          </w:p>
        </w:tc>
        <w:tc>
          <w:tcPr>
            <w:tcW w:w="3600" w:type="dxa"/>
            <w:shd w:val="clear" w:color="auto" w:fill="auto"/>
            <w:tcMar>
              <w:top w:w="0" w:type="dxa"/>
              <w:left w:w="0" w:type="dxa"/>
              <w:bottom w:w="0" w:type="dxa"/>
              <w:right w:w="0" w:type="dxa"/>
            </w:tcMar>
            <w:vAlign w:val="center"/>
          </w:tcPr>
          <w:p w14:paraId="29C86450" w14:textId="77777777" w:rsidR="00A606EC" w:rsidRPr="001908EE" w:rsidRDefault="00B8022B" w:rsidP="00B8022B">
            <w:pPr>
              <w:spacing w:line="240" w:lineRule="auto"/>
              <w:contextualSpacing w:val="0"/>
              <w:jc w:val="center"/>
              <w:rPr>
                <w:b/>
                <w:lang w:val="en-US"/>
              </w:rPr>
            </w:pPr>
            <w:r w:rsidRPr="001908EE">
              <w:rPr>
                <w:b/>
                <w:lang w:val="en-US"/>
              </w:rPr>
              <w:t>N/A</w:t>
            </w:r>
          </w:p>
        </w:tc>
      </w:tr>
    </w:tbl>
    <w:p w14:paraId="1A21770F" w14:textId="14530A52" w:rsidR="00A606EC" w:rsidRPr="00C17167" w:rsidRDefault="00D26AA1" w:rsidP="00BB6B0C">
      <w:pPr>
        <w:rPr>
          <w:i/>
          <w:lang w:val="en-US"/>
        </w:rPr>
      </w:pPr>
      <w:r w:rsidRPr="00C17167">
        <w:rPr>
          <w:i/>
          <w:lang w:val="en-US"/>
        </w:rPr>
        <w:t>*p&lt;0.05</w:t>
      </w:r>
      <w:r w:rsidR="00C17167" w:rsidRPr="00C17167">
        <w:rPr>
          <w:i/>
          <w:lang w:val="en-US"/>
        </w:rPr>
        <w:t xml:space="preserve">  </w:t>
      </w:r>
      <w:r w:rsidR="00BC1529" w:rsidRPr="00C17167">
        <w:rPr>
          <w:i/>
          <w:lang w:val="en-US"/>
        </w:rPr>
        <w:t>** Alread</w:t>
      </w:r>
      <w:r w:rsidR="00B8022B" w:rsidRPr="00C17167">
        <w:rPr>
          <w:i/>
          <w:lang w:val="en-US"/>
        </w:rPr>
        <w:t>y performing above national norm</w:t>
      </w:r>
    </w:p>
    <w:p w14:paraId="10E1454E" w14:textId="77777777" w:rsidR="00B8022B" w:rsidRPr="001908EE" w:rsidRDefault="00B8022B" w:rsidP="00BB6B0C">
      <w:pPr>
        <w:rPr>
          <w:lang w:val="en-US"/>
        </w:rPr>
      </w:pPr>
    </w:p>
    <w:p w14:paraId="2D2C866C" w14:textId="0167211D" w:rsidR="00A606EC" w:rsidRPr="001908EE" w:rsidRDefault="00FD6056" w:rsidP="00BB6B0C">
      <w:pPr>
        <w:rPr>
          <w:lang w:val="en-US"/>
        </w:rPr>
      </w:pPr>
      <w:r w:rsidRPr="001908EE">
        <w:rPr>
          <w:b/>
          <w:lang w:val="en-US"/>
        </w:rPr>
        <w:t xml:space="preserve">Figure </w:t>
      </w:r>
      <w:r w:rsidR="00B539E3" w:rsidRPr="001908EE">
        <w:rPr>
          <w:b/>
          <w:lang w:val="en-US"/>
        </w:rPr>
        <w:t>6</w:t>
      </w:r>
      <w:r w:rsidR="003316F8" w:rsidRPr="001908EE">
        <w:rPr>
          <w:b/>
          <w:lang w:val="en-US"/>
        </w:rPr>
        <w:t>.</w:t>
      </w:r>
      <w:r w:rsidR="00BC1529" w:rsidRPr="001908EE">
        <w:rPr>
          <w:b/>
          <w:lang w:val="en-US"/>
        </w:rPr>
        <w:t xml:space="preserve"> Copper River School District Edgenuity Students, Grades 6</w:t>
      </w:r>
      <w:r w:rsidR="00A33ADF" w:rsidRPr="001908EE">
        <w:rPr>
          <w:b/>
          <w:lang w:val="en-US"/>
        </w:rPr>
        <w:t>–</w:t>
      </w:r>
      <w:r w:rsidR="00BC1529" w:rsidRPr="001908EE">
        <w:rPr>
          <w:b/>
          <w:lang w:val="en-US"/>
        </w:rPr>
        <w:t>11 (N = 126)</w:t>
      </w:r>
      <w:r w:rsidRPr="001908EE">
        <w:rPr>
          <w:b/>
          <w:lang w:val="en-US"/>
        </w:rPr>
        <w:t xml:space="preserve"> </w:t>
      </w:r>
      <w:r w:rsidR="00BC1529" w:rsidRPr="001908EE">
        <w:rPr>
          <w:b/>
          <w:lang w:val="en-US"/>
        </w:rPr>
        <w:br/>
      </w:r>
      <w:r w:rsidR="00BC1529" w:rsidRPr="001908EE">
        <w:rPr>
          <w:lang w:val="en-US"/>
        </w:rPr>
        <w:t>Performance on the NWEA MAP Growth Math Assessment, Fall 2013 to Spring 2014</w:t>
      </w:r>
    </w:p>
    <w:tbl>
      <w:tblPr>
        <w:tblStyle w:val="a0"/>
        <w:tblW w:w="1021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630"/>
        <w:gridCol w:w="1440"/>
        <w:gridCol w:w="1728"/>
        <w:gridCol w:w="1260"/>
        <w:gridCol w:w="3600"/>
      </w:tblGrid>
      <w:tr w:rsidR="00A606EC" w:rsidRPr="001908EE" w14:paraId="697827B2" w14:textId="77777777" w:rsidTr="00137017">
        <w:trPr>
          <w:trHeight w:val="288"/>
        </w:trPr>
        <w:tc>
          <w:tcPr>
            <w:tcW w:w="1560" w:type="dxa"/>
            <w:shd w:val="clear" w:color="auto" w:fill="2E3192"/>
            <w:tcMar>
              <w:top w:w="0" w:type="dxa"/>
              <w:left w:w="0" w:type="dxa"/>
              <w:bottom w:w="0" w:type="dxa"/>
              <w:right w:w="0" w:type="dxa"/>
            </w:tcMar>
            <w:vAlign w:val="center"/>
          </w:tcPr>
          <w:p w14:paraId="202DA2D8" w14:textId="77777777" w:rsidR="00A606EC" w:rsidRPr="001908EE" w:rsidRDefault="00BC1529" w:rsidP="00137017">
            <w:pPr>
              <w:jc w:val="center"/>
              <w:rPr>
                <w:lang w:val="en-US"/>
              </w:rPr>
            </w:pPr>
            <w:r w:rsidRPr="001908EE">
              <w:rPr>
                <w:lang w:val="en-US"/>
              </w:rPr>
              <w:t>Grade</w:t>
            </w:r>
          </w:p>
        </w:tc>
        <w:tc>
          <w:tcPr>
            <w:tcW w:w="630" w:type="dxa"/>
            <w:shd w:val="clear" w:color="auto" w:fill="2E3192"/>
            <w:tcMar>
              <w:top w:w="0" w:type="dxa"/>
              <w:left w:w="0" w:type="dxa"/>
              <w:bottom w:w="0" w:type="dxa"/>
              <w:right w:w="0" w:type="dxa"/>
            </w:tcMar>
            <w:vAlign w:val="center"/>
          </w:tcPr>
          <w:p w14:paraId="11CD087F" w14:textId="77777777" w:rsidR="00A606EC" w:rsidRPr="001908EE" w:rsidRDefault="00BC1529" w:rsidP="00137017">
            <w:pPr>
              <w:jc w:val="center"/>
              <w:rPr>
                <w:lang w:val="en-US"/>
              </w:rPr>
            </w:pPr>
            <w:r w:rsidRPr="001908EE">
              <w:rPr>
                <w:lang w:val="en-US"/>
              </w:rPr>
              <w:t>N</w:t>
            </w:r>
          </w:p>
        </w:tc>
        <w:tc>
          <w:tcPr>
            <w:tcW w:w="1440" w:type="dxa"/>
            <w:shd w:val="clear" w:color="auto" w:fill="2E3192"/>
            <w:tcMar>
              <w:top w:w="0" w:type="dxa"/>
              <w:left w:w="0" w:type="dxa"/>
              <w:bottom w:w="0" w:type="dxa"/>
              <w:right w:w="0" w:type="dxa"/>
            </w:tcMar>
            <w:vAlign w:val="center"/>
          </w:tcPr>
          <w:p w14:paraId="01CBA351" w14:textId="77777777" w:rsidR="00A606EC" w:rsidRPr="001908EE" w:rsidRDefault="00BC1529" w:rsidP="00137017">
            <w:pPr>
              <w:jc w:val="center"/>
              <w:rPr>
                <w:lang w:val="en-US"/>
              </w:rPr>
            </w:pPr>
            <w:r w:rsidRPr="001908EE">
              <w:rPr>
                <w:lang w:val="en-US"/>
              </w:rPr>
              <w:t>Fall RIT 2013</w:t>
            </w:r>
          </w:p>
        </w:tc>
        <w:tc>
          <w:tcPr>
            <w:tcW w:w="1728" w:type="dxa"/>
            <w:shd w:val="clear" w:color="auto" w:fill="2E3192"/>
            <w:tcMar>
              <w:top w:w="0" w:type="dxa"/>
              <w:left w:w="0" w:type="dxa"/>
              <w:bottom w:w="0" w:type="dxa"/>
              <w:right w:w="0" w:type="dxa"/>
            </w:tcMar>
            <w:vAlign w:val="center"/>
          </w:tcPr>
          <w:p w14:paraId="7C451039" w14:textId="77777777" w:rsidR="00A606EC" w:rsidRPr="001908EE" w:rsidRDefault="00BC1529" w:rsidP="00137017">
            <w:pPr>
              <w:jc w:val="center"/>
              <w:rPr>
                <w:lang w:val="en-US"/>
              </w:rPr>
            </w:pPr>
            <w:r w:rsidRPr="001908EE">
              <w:rPr>
                <w:lang w:val="en-US"/>
              </w:rPr>
              <w:t>Spring RIT 2014</w:t>
            </w:r>
          </w:p>
        </w:tc>
        <w:tc>
          <w:tcPr>
            <w:tcW w:w="1260" w:type="dxa"/>
            <w:shd w:val="clear" w:color="auto" w:fill="2E3192"/>
            <w:tcMar>
              <w:top w:w="0" w:type="dxa"/>
              <w:left w:w="0" w:type="dxa"/>
              <w:bottom w:w="0" w:type="dxa"/>
              <w:right w:w="0" w:type="dxa"/>
            </w:tcMar>
            <w:vAlign w:val="center"/>
          </w:tcPr>
          <w:p w14:paraId="008C4496" w14:textId="77777777" w:rsidR="00A606EC" w:rsidRPr="001908EE" w:rsidRDefault="00BC1529" w:rsidP="00137017">
            <w:pPr>
              <w:jc w:val="center"/>
              <w:rPr>
                <w:lang w:val="en-US"/>
              </w:rPr>
            </w:pPr>
            <w:r w:rsidRPr="001908EE">
              <w:rPr>
                <w:lang w:val="en-US"/>
              </w:rPr>
              <w:t>RIT Gain</w:t>
            </w:r>
          </w:p>
        </w:tc>
        <w:tc>
          <w:tcPr>
            <w:tcW w:w="3600" w:type="dxa"/>
            <w:shd w:val="clear" w:color="auto" w:fill="2E3192"/>
            <w:tcMar>
              <w:top w:w="0" w:type="dxa"/>
              <w:left w:w="0" w:type="dxa"/>
              <w:bottom w:w="0" w:type="dxa"/>
              <w:right w:w="0" w:type="dxa"/>
            </w:tcMar>
            <w:vAlign w:val="center"/>
          </w:tcPr>
          <w:p w14:paraId="202FEBDC" w14:textId="77777777" w:rsidR="00A606EC" w:rsidRPr="001908EE" w:rsidRDefault="00BC1529" w:rsidP="00137017">
            <w:pPr>
              <w:jc w:val="center"/>
              <w:rPr>
                <w:lang w:val="en-US"/>
              </w:rPr>
            </w:pPr>
            <w:r w:rsidRPr="001908EE">
              <w:rPr>
                <w:lang w:val="en-US"/>
              </w:rPr>
              <w:t>Gap to National Norm Reduced by...</w:t>
            </w:r>
          </w:p>
        </w:tc>
      </w:tr>
      <w:tr w:rsidR="00A606EC" w:rsidRPr="001908EE" w14:paraId="2E604826" w14:textId="77777777" w:rsidTr="00137017">
        <w:trPr>
          <w:trHeight w:val="288"/>
        </w:trPr>
        <w:tc>
          <w:tcPr>
            <w:tcW w:w="1560" w:type="dxa"/>
            <w:shd w:val="clear" w:color="auto" w:fill="auto"/>
            <w:tcMar>
              <w:top w:w="0" w:type="dxa"/>
              <w:left w:w="0" w:type="dxa"/>
              <w:bottom w:w="0" w:type="dxa"/>
              <w:right w:w="0" w:type="dxa"/>
            </w:tcMar>
            <w:vAlign w:val="center"/>
          </w:tcPr>
          <w:p w14:paraId="4197B5A9" w14:textId="77777777" w:rsidR="00A606EC" w:rsidRPr="001908EE" w:rsidRDefault="00BC1529" w:rsidP="00137017">
            <w:pPr>
              <w:jc w:val="center"/>
              <w:rPr>
                <w:lang w:val="en-US"/>
              </w:rPr>
            </w:pPr>
            <w:r w:rsidRPr="001908EE">
              <w:rPr>
                <w:lang w:val="en-US"/>
              </w:rPr>
              <w:t>6th</w:t>
            </w:r>
          </w:p>
        </w:tc>
        <w:tc>
          <w:tcPr>
            <w:tcW w:w="630" w:type="dxa"/>
            <w:shd w:val="clear" w:color="auto" w:fill="auto"/>
            <w:tcMar>
              <w:top w:w="0" w:type="dxa"/>
              <w:left w:w="0" w:type="dxa"/>
              <w:bottom w:w="0" w:type="dxa"/>
              <w:right w:w="0" w:type="dxa"/>
            </w:tcMar>
            <w:vAlign w:val="center"/>
          </w:tcPr>
          <w:p w14:paraId="7420FC64" w14:textId="77777777" w:rsidR="00A606EC" w:rsidRPr="001908EE" w:rsidRDefault="00BC1529" w:rsidP="00137017">
            <w:pPr>
              <w:jc w:val="center"/>
              <w:rPr>
                <w:lang w:val="en-US"/>
              </w:rPr>
            </w:pPr>
            <w:r w:rsidRPr="001908EE">
              <w:rPr>
                <w:lang w:val="en-US"/>
              </w:rPr>
              <w:t>24</w:t>
            </w:r>
          </w:p>
        </w:tc>
        <w:tc>
          <w:tcPr>
            <w:tcW w:w="1440" w:type="dxa"/>
            <w:shd w:val="clear" w:color="auto" w:fill="auto"/>
            <w:tcMar>
              <w:top w:w="0" w:type="dxa"/>
              <w:left w:w="0" w:type="dxa"/>
              <w:bottom w:w="0" w:type="dxa"/>
              <w:right w:w="0" w:type="dxa"/>
            </w:tcMar>
            <w:vAlign w:val="center"/>
          </w:tcPr>
          <w:p w14:paraId="307F8D07" w14:textId="77777777" w:rsidR="00A606EC" w:rsidRPr="001908EE" w:rsidRDefault="00BC1529" w:rsidP="00137017">
            <w:pPr>
              <w:jc w:val="center"/>
              <w:rPr>
                <w:lang w:val="en-US"/>
              </w:rPr>
            </w:pPr>
            <w:r w:rsidRPr="001908EE">
              <w:rPr>
                <w:lang w:val="en-US"/>
              </w:rPr>
              <w:t>214.6</w:t>
            </w:r>
          </w:p>
        </w:tc>
        <w:tc>
          <w:tcPr>
            <w:tcW w:w="1728" w:type="dxa"/>
            <w:shd w:val="clear" w:color="auto" w:fill="auto"/>
            <w:tcMar>
              <w:top w:w="0" w:type="dxa"/>
              <w:left w:w="0" w:type="dxa"/>
              <w:bottom w:w="0" w:type="dxa"/>
              <w:right w:w="0" w:type="dxa"/>
            </w:tcMar>
            <w:vAlign w:val="center"/>
          </w:tcPr>
          <w:p w14:paraId="28521365" w14:textId="77777777" w:rsidR="00A606EC" w:rsidRPr="001908EE" w:rsidRDefault="00BC1529" w:rsidP="00137017">
            <w:pPr>
              <w:jc w:val="center"/>
              <w:rPr>
                <w:lang w:val="en-US"/>
              </w:rPr>
            </w:pPr>
            <w:r w:rsidRPr="001908EE">
              <w:rPr>
                <w:lang w:val="en-US"/>
              </w:rPr>
              <w:t>223.3</w:t>
            </w:r>
          </w:p>
        </w:tc>
        <w:tc>
          <w:tcPr>
            <w:tcW w:w="1260" w:type="dxa"/>
            <w:shd w:val="clear" w:color="auto" w:fill="auto"/>
            <w:tcMar>
              <w:top w:w="0" w:type="dxa"/>
              <w:left w:w="0" w:type="dxa"/>
              <w:bottom w:w="0" w:type="dxa"/>
              <w:right w:w="0" w:type="dxa"/>
            </w:tcMar>
            <w:vAlign w:val="center"/>
          </w:tcPr>
          <w:p w14:paraId="6FBED8F7" w14:textId="77777777" w:rsidR="00A606EC" w:rsidRPr="001908EE" w:rsidRDefault="00BC1529" w:rsidP="00137017">
            <w:pPr>
              <w:jc w:val="center"/>
              <w:rPr>
                <w:lang w:val="en-US"/>
              </w:rPr>
            </w:pPr>
            <w:r w:rsidRPr="001908EE">
              <w:rPr>
                <w:lang w:val="en-US"/>
              </w:rPr>
              <w:t>8.7*</w:t>
            </w:r>
          </w:p>
        </w:tc>
        <w:tc>
          <w:tcPr>
            <w:tcW w:w="3600" w:type="dxa"/>
            <w:shd w:val="clear" w:color="auto" w:fill="auto"/>
            <w:tcMar>
              <w:top w:w="0" w:type="dxa"/>
              <w:left w:w="0" w:type="dxa"/>
              <w:bottom w:w="0" w:type="dxa"/>
              <w:right w:w="0" w:type="dxa"/>
            </w:tcMar>
            <w:vAlign w:val="center"/>
          </w:tcPr>
          <w:p w14:paraId="07965C51" w14:textId="77777777" w:rsidR="00A606EC" w:rsidRPr="001908EE" w:rsidRDefault="00BC1529" w:rsidP="00137017">
            <w:pPr>
              <w:jc w:val="center"/>
              <w:rPr>
                <w:lang w:val="en-US"/>
              </w:rPr>
            </w:pPr>
            <w:r w:rsidRPr="001908EE">
              <w:rPr>
                <w:lang w:val="en-US"/>
              </w:rPr>
              <w:t>2.7</w:t>
            </w:r>
          </w:p>
        </w:tc>
      </w:tr>
      <w:tr w:rsidR="00A606EC" w:rsidRPr="001908EE" w14:paraId="55444A5C" w14:textId="77777777" w:rsidTr="00137017">
        <w:trPr>
          <w:trHeight w:val="288"/>
        </w:trPr>
        <w:tc>
          <w:tcPr>
            <w:tcW w:w="1560" w:type="dxa"/>
            <w:shd w:val="clear" w:color="auto" w:fill="auto"/>
            <w:tcMar>
              <w:top w:w="0" w:type="dxa"/>
              <w:left w:w="0" w:type="dxa"/>
              <w:bottom w:w="0" w:type="dxa"/>
              <w:right w:w="0" w:type="dxa"/>
            </w:tcMar>
            <w:vAlign w:val="center"/>
          </w:tcPr>
          <w:p w14:paraId="3EBCA08A" w14:textId="77777777" w:rsidR="00A606EC" w:rsidRPr="001908EE" w:rsidRDefault="00BC1529" w:rsidP="00137017">
            <w:pPr>
              <w:jc w:val="center"/>
              <w:rPr>
                <w:lang w:val="en-US"/>
              </w:rPr>
            </w:pPr>
            <w:r w:rsidRPr="001908EE">
              <w:rPr>
                <w:lang w:val="en-US"/>
              </w:rPr>
              <w:t>7th</w:t>
            </w:r>
          </w:p>
        </w:tc>
        <w:tc>
          <w:tcPr>
            <w:tcW w:w="630" w:type="dxa"/>
            <w:shd w:val="clear" w:color="auto" w:fill="auto"/>
            <w:tcMar>
              <w:top w:w="0" w:type="dxa"/>
              <w:left w:w="0" w:type="dxa"/>
              <w:bottom w:w="0" w:type="dxa"/>
              <w:right w:w="0" w:type="dxa"/>
            </w:tcMar>
            <w:vAlign w:val="center"/>
          </w:tcPr>
          <w:p w14:paraId="65679397" w14:textId="77777777" w:rsidR="00A606EC" w:rsidRPr="001908EE" w:rsidRDefault="00BC1529" w:rsidP="00137017">
            <w:pPr>
              <w:jc w:val="center"/>
              <w:rPr>
                <w:lang w:val="en-US"/>
              </w:rPr>
            </w:pPr>
            <w:r w:rsidRPr="001908EE">
              <w:rPr>
                <w:lang w:val="en-US"/>
              </w:rPr>
              <w:t>18</w:t>
            </w:r>
          </w:p>
        </w:tc>
        <w:tc>
          <w:tcPr>
            <w:tcW w:w="1440" w:type="dxa"/>
            <w:shd w:val="clear" w:color="auto" w:fill="auto"/>
            <w:tcMar>
              <w:top w:w="0" w:type="dxa"/>
              <w:left w:w="0" w:type="dxa"/>
              <w:bottom w:w="0" w:type="dxa"/>
              <w:right w:w="0" w:type="dxa"/>
            </w:tcMar>
            <w:vAlign w:val="center"/>
          </w:tcPr>
          <w:p w14:paraId="5195F04E" w14:textId="77777777" w:rsidR="00A606EC" w:rsidRPr="001908EE" w:rsidRDefault="00BC1529" w:rsidP="00137017">
            <w:pPr>
              <w:jc w:val="center"/>
              <w:rPr>
                <w:lang w:val="en-US"/>
              </w:rPr>
            </w:pPr>
            <w:r w:rsidRPr="001908EE">
              <w:rPr>
                <w:lang w:val="en-US"/>
              </w:rPr>
              <w:t>222.8</w:t>
            </w:r>
          </w:p>
        </w:tc>
        <w:tc>
          <w:tcPr>
            <w:tcW w:w="1728" w:type="dxa"/>
            <w:shd w:val="clear" w:color="auto" w:fill="auto"/>
            <w:tcMar>
              <w:top w:w="0" w:type="dxa"/>
              <w:left w:w="0" w:type="dxa"/>
              <w:bottom w:w="0" w:type="dxa"/>
              <w:right w:w="0" w:type="dxa"/>
            </w:tcMar>
            <w:vAlign w:val="center"/>
          </w:tcPr>
          <w:p w14:paraId="0030C21F" w14:textId="77777777" w:rsidR="00A606EC" w:rsidRPr="001908EE" w:rsidRDefault="00BC1529" w:rsidP="00137017">
            <w:pPr>
              <w:jc w:val="center"/>
              <w:rPr>
                <w:lang w:val="en-US"/>
              </w:rPr>
            </w:pPr>
            <w:r w:rsidRPr="001908EE">
              <w:rPr>
                <w:lang w:val="en-US"/>
              </w:rPr>
              <w:t>231.2</w:t>
            </w:r>
          </w:p>
        </w:tc>
        <w:tc>
          <w:tcPr>
            <w:tcW w:w="1260" w:type="dxa"/>
            <w:shd w:val="clear" w:color="auto" w:fill="auto"/>
            <w:tcMar>
              <w:top w:w="0" w:type="dxa"/>
              <w:left w:w="0" w:type="dxa"/>
              <w:bottom w:w="0" w:type="dxa"/>
              <w:right w:w="0" w:type="dxa"/>
            </w:tcMar>
            <w:vAlign w:val="center"/>
          </w:tcPr>
          <w:p w14:paraId="6993D44F" w14:textId="77777777" w:rsidR="00A606EC" w:rsidRPr="001908EE" w:rsidRDefault="00BC1529" w:rsidP="00137017">
            <w:pPr>
              <w:jc w:val="center"/>
              <w:rPr>
                <w:lang w:val="en-US"/>
              </w:rPr>
            </w:pPr>
            <w:r w:rsidRPr="001908EE">
              <w:rPr>
                <w:lang w:val="en-US"/>
              </w:rPr>
              <w:t>8.4*</w:t>
            </w:r>
          </w:p>
        </w:tc>
        <w:tc>
          <w:tcPr>
            <w:tcW w:w="3600" w:type="dxa"/>
            <w:shd w:val="clear" w:color="auto" w:fill="auto"/>
            <w:tcMar>
              <w:top w:w="0" w:type="dxa"/>
              <w:left w:w="0" w:type="dxa"/>
              <w:bottom w:w="0" w:type="dxa"/>
              <w:right w:w="0" w:type="dxa"/>
            </w:tcMar>
            <w:vAlign w:val="center"/>
          </w:tcPr>
          <w:p w14:paraId="6744CB9E" w14:textId="77777777" w:rsidR="00A606EC" w:rsidRPr="001908EE" w:rsidRDefault="00BC1529" w:rsidP="00137017">
            <w:pPr>
              <w:jc w:val="center"/>
              <w:rPr>
                <w:lang w:val="en-US"/>
              </w:rPr>
            </w:pPr>
            <w:r w:rsidRPr="001908EE">
              <w:rPr>
                <w:lang w:val="en-US"/>
              </w:rPr>
              <w:t>**</w:t>
            </w:r>
          </w:p>
        </w:tc>
      </w:tr>
      <w:tr w:rsidR="00A606EC" w:rsidRPr="001908EE" w14:paraId="71613A61" w14:textId="77777777" w:rsidTr="00137017">
        <w:trPr>
          <w:trHeight w:val="288"/>
        </w:trPr>
        <w:tc>
          <w:tcPr>
            <w:tcW w:w="1560" w:type="dxa"/>
            <w:shd w:val="clear" w:color="auto" w:fill="auto"/>
            <w:tcMar>
              <w:top w:w="0" w:type="dxa"/>
              <w:left w:w="0" w:type="dxa"/>
              <w:bottom w:w="0" w:type="dxa"/>
              <w:right w:w="0" w:type="dxa"/>
            </w:tcMar>
            <w:vAlign w:val="center"/>
          </w:tcPr>
          <w:p w14:paraId="37E57CB8" w14:textId="77777777" w:rsidR="00A606EC" w:rsidRPr="001908EE" w:rsidRDefault="00BC1529" w:rsidP="00137017">
            <w:pPr>
              <w:jc w:val="center"/>
              <w:rPr>
                <w:lang w:val="en-US"/>
              </w:rPr>
            </w:pPr>
            <w:r w:rsidRPr="001908EE">
              <w:rPr>
                <w:lang w:val="en-US"/>
              </w:rPr>
              <w:t>8th</w:t>
            </w:r>
          </w:p>
        </w:tc>
        <w:tc>
          <w:tcPr>
            <w:tcW w:w="630" w:type="dxa"/>
            <w:shd w:val="clear" w:color="auto" w:fill="auto"/>
            <w:tcMar>
              <w:top w:w="0" w:type="dxa"/>
              <w:left w:w="0" w:type="dxa"/>
              <w:bottom w:w="0" w:type="dxa"/>
              <w:right w:w="0" w:type="dxa"/>
            </w:tcMar>
            <w:vAlign w:val="center"/>
          </w:tcPr>
          <w:p w14:paraId="79EE7BC0" w14:textId="77777777" w:rsidR="00A606EC" w:rsidRPr="001908EE" w:rsidRDefault="00BC1529" w:rsidP="00137017">
            <w:pPr>
              <w:jc w:val="center"/>
              <w:rPr>
                <w:lang w:val="en-US"/>
              </w:rPr>
            </w:pPr>
            <w:r w:rsidRPr="001908EE">
              <w:rPr>
                <w:lang w:val="en-US"/>
              </w:rPr>
              <w:t>22</w:t>
            </w:r>
          </w:p>
        </w:tc>
        <w:tc>
          <w:tcPr>
            <w:tcW w:w="1440" w:type="dxa"/>
            <w:shd w:val="clear" w:color="auto" w:fill="auto"/>
            <w:tcMar>
              <w:top w:w="0" w:type="dxa"/>
              <w:left w:w="0" w:type="dxa"/>
              <w:bottom w:w="0" w:type="dxa"/>
              <w:right w:w="0" w:type="dxa"/>
            </w:tcMar>
            <w:vAlign w:val="center"/>
          </w:tcPr>
          <w:p w14:paraId="4D0E7DF1" w14:textId="77777777" w:rsidR="00A606EC" w:rsidRPr="001908EE" w:rsidRDefault="00BC1529" w:rsidP="00137017">
            <w:pPr>
              <w:jc w:val="center"/>
              <w:rPr>
                <w:lang w:val="en-US"/>
              </w:rPr>
            </w:pPr>
            <w:r w:rsidRPr="001908EE">
              <w:rPr>
                <w:lang w:val="en-US"/>
              </w:rPr>
              <w:t>2257</w:t>
            </w:r>
          </w:p>
        </w:tc>
        <w:tc>
          <w:tcPr>
            <w:tcW w:w="1728" w:type="dxa"/>
            <w:shd w:val="clear" w:color="auto" w:fill="auto"/>
            <w:tcMar>
              <w:top w:w="0" w:type="dxa"/>
              <w:left w:w="0" w:type="dxa"/>
              <w:bottom w:w="0" w:type="dxa"/>
              <w:right w:w="0" w:type="dxa"/>
            </w:tcMar>
            <w:vAlign w:val="center"/>
          </w:tcPr>
          <w:p w14:paraId="400276DE" w14:textId="77777777" w:rsidR="00A606EC" w:rsidRPr="001908EE" w:rsidRDefault="00BC1529" w:rsidP="00137017">
            <w:pPr>
              <w:jc w:val="center"/>
              <w:rPr>
                <w:lang w:val="en-US"/>
              </w:rPr>
            </w:pPr>
            <w:r w:rsidRPr="001908EE">
              <w:rPr>
                <w:lang w:val="en-US"/>
              </w:rPr>
              <w:t>234.1</w:t>
            </w:r>
          </w:p>
        </w:tc>
        <w:tc>
          <w:tcPr>
            <w:tcW w:w="1260" w:type="dxa"/>
            <w:shd w:val="clear" w:color="auto" w:fill="auto"/>
            <w:tcMar>
              <w:top w:w="0" w:type="dxa"/>
              <w:left w:w="0" w:type="dxa"/>
              <w:bottom w:w="0" w:type="dxa"/>
              <w:right w:w="0" w:type="dxa"/>
            </w:tcMar>
            <w:vAlign w:val="center"/>
          </w:tcPr>
          <w:p w14:paraId="39970734" w14:textId="77777777" w:rsidR="00A606EC" w:rsidRPr="001908EE" w:rsidRDefault="00BC1529" w:rsidP="00137017">
            <w:pPr>
              <w:jc w:val="center"/>
              <w:rPr>
                <w:lang w:val="en-US"/>
              </w:rPr>
            </w:pPr>
            <w:r w:rsidRPr="001908EE">
              <w:rPr>
                <w:lang w:val="en-US"/>
              </w:rPr>
              <w:t>8.4*</w:t>
            </w:r>
          </w:p>
        </w:tc>
        <w:tc>
          <w:tcPr>
            <w:tcW w:w="3600" w:type="dxa"/>
            <w:shd w:val="clear" w:color="auto" w:fill="auto"/>
            <w:tcMar>
              <w:top w:w="0" w:type="dxa"/>
              <w:left w:w="0" w:type="dxa"/>
              <w:bottom w:w="0" w:type="dxa"/>
              <w:right w:w="0" w:type="dxa"/>
            </w:tcMar>
            <w:vAlign w:val="center"/>
          </w:tcPr>
          <w:p w14:paraId="71FC2696" w14:textId="77777777" w:rsidR="00A606EC" w:rsidRPr="001908EE" w:rsidRDefault="00BC1529" w:rsidP="00137017">
            <w:pPr>
              <w:jc w:val="center"/>
              <w:rPr>
                <w:lang w:val="en-US"/>
              </w:rPr>
            </w:pPr>
            <w:r w:rsidRPr="001908EE">
              <w:rPr>
                <w:lang w:val="en-US"/>
              </w:rPr>
              <w:t>4.1</w:t>
            </w:r>
          </w:p>
        </w:tc>
      </w:tr>
      <w:tr w:rsidR="00A606EC" w:rsidRPr="001908EE" w14:paraId="4F0E509A" w14:textId="77777777" w:rsidTr="00137017">
        <w:trPr>
          <w:trHeight w:val="288"/>
        </w:trPr>
        <w:tc>
          <w:tcPr>
            <w:tcW w:w="1560" w:type="dxa"/>
            <w:shd w:val="clear" w:color="auto" w:fill="auto"/>
            <w:tcMar>
              <w:top w:w="0" w:type="dxa"/>
              <w:left w:w="0" w:type="dxa"/>
              <w:bottom w:w="0" w:type="dxa"/>
              <w:right w:w="0" w:type="dxa"/>
            </w:tcMar>
            <w:vAlign w:val="center"/>
          </w:tcPr>
          <w:p w14:paraId="3A099F0A" w14:textId="77777777" w:rsidR="00A606EC" w:rsidRPr="001908EE" w:rsidRDefault="00BC1529" w:rsidP="00137017">
            <w:pPr>
              <w:jc w:val="center"/>
              <w:rPr>
                <w:lang w:val="en-US"/>
              </w:rPr>
            </w:pPr>
            <w:r w:rsidRPr="001908EE">
              <w:rPr>
                <w:lang w:val="en-US"/>
              </w:rPr>
              <w:t>9th</w:t>
            </w:r>
          </w:p>
        </w:tc>
        <w:tc>
          <w:tcPr>
            <w:tcW w:w="630" w:type="dxa"/>
            <w:shd w:val="clear" w:color="auto" w:fill="auto"/>
            <w:tcMar>
              <w:top w:w="0" w:type="dxa"/>
              <w:left w:w="0" w:type="dxa"/>
              <w:bottom w:w="0" w:type="dxa"/>
              <w:right w:w="0" w:type="dxa"/>
            </w:tcMar>
            <w:vAlign w:val="center"/>
          </w:tcPr>
          <w:p w14:paraId="1E270998" w14:textId="77777777" w:rsidR="00A606EC" w:rsidRPr="001908EE" w:rsidRDefault="00BC1529" w:rsidP="00137017">
            <w:pPr>
              <w:jc w:val="center"/>
              <w:rPr>
                <w:lang w:val="en-US"/>
              </w:rPr>
            </w:pPr>
            <w:r w:rsidRPr="001908EE">
              <w:rPr>
                <w:lang w:val="en-US"/>
              </w:rPr>
              <w:t>26</w:t>
            </w:r>
          </w:p>
        </w:tc>
        <w:tc>
          <w:tcPr>
            <w:tcW w:w="1440" w:type="dxa"/>
            <w:shd w:val="clear" w:color="auto" w:fill="auto"/>
            <w:tcMar>
              <w:top w:w="0" w:type="dxa"/>
              <w:left w:w="0" w:type="dxa"/>
              <w:bottom w:w="0" w:type="dxa"/>
              <w:right w:w="0" w:type="dxa"/>
            </w:tcMar>
            <w:vAlign w:val="center"/>
          </w:tcPr>
          <w:p w14:paraId="5AA7C038" w14:textId="77777777" w:rsidR="00A606EC" w:rsidRPr="001908EE" w:rsidRDefault="00BC1529" w:rsidP="00137017">
            <w:pPr>
              <w:jc w:val="center"/>
              <w:rPr>
                <w:lang w:val="en-US"/>
              </w:rPr>
            </w:pPr>
            <w:r w:rsidRPr="001908EE">
              <w:rPr>
                <w:lang w:val="en-US"/>
              </w:rPr>
              <w:t>241.4</w:t>
            </w:r>
          </w:p>
        </w:tc>
        <w:tc>
          <w:tcPr>
            <w:tcW w:w="1728" w:type="dxa"/>
            <w:shd w:val="clear" w:color="auto" w:fill="auto"/>
            <w:tcMar>
              <w:top w:w="0" w:type="dxa"/>
              <w:left w:w="0" w:type="dxa"/>
              <w:bottom w:w="0" w:type="dxa"/>
              <w:right w:w="0" w:type="dxa"/>
            </w:tcMar>
            <w:vAlign w:val="center"/>
          </w:tcPr>
          <w:p w14:paraId="7086006E" w14:textId="77777777" w:rsidR="00A606EC" w:rsidRPr="001908EE" w:rsidRDefault="00BC1529" w:rsidP="00137017">
            <w:pPr>
              <w:jc w:val="center"/>
              <w:rPr>
                <w:lang w:val="en-US"/>
              </w:rPr>
            </w:pPr>
            <w:r w:rsidRPr="001908EE">
              <w:rPr>
                <w:lang w:val="en-US"/>
              </w:rPr>
              <w:t>246.3</w:t>
            </w:r>
          </w:p>
        </w:tc>
        <w:tc>
          <w:tcPr>
            <w:tcW w:w="1260" w:type="dxa"/>
            <w:shd w:val="clear" w:color="auto" w:fill="auto"/>
            <w:tcMar>
              <w:top w:w="0" w:type="dxa"/>
              <w:left w:w="0" w:type="dxa"/>
              <w:bottom w:w="0" w:type="dxa"/>
              <w:right w:w="0" w:type="dxa"/>
            </w:tcMar>
            <w:vAlign w:val="center"/>
          </w:tcPr>
          <w:p w14:paraId="5FCB5EDD" w14:textId="77777777" w:rsidR="00A606EC" w:rsidRPr="001908EE" w:rsidRDefault="00BC1529" w:rsidP="00137017">
            <w:pPr>
              <w:jc w:val="center"/>
              <w:rPr>
                <w:lang w:val="en-US"/>
              </w:rPr>
            </w:pPr>
            <w:r w:rsidRPr="001908EE">
              <w:rPr>
                <w:lang w:val="en-US"/>
              </w:rPr>
              <w:t>4.8*</w:t>
            </w:r>
          </w:p>
        </w:tc>
        <w:tc>
          <w:tcPr>
            <w:tcW w:w="3600" w:type="dxa"/>
            <w:shd w:val="clear" w:color="auto" w:fill="auto"/>
            <w:tcMar>
              <w:top w:w="0" w:type="dxa"/>
              <w:left w:w="0" w:type="dxa"/>
              <w:bottom w:w="0" w:type="dxa"/>
              <w:right w:w="0" w:type="dxa"/>
            </w:tcMar>
            <w:vAlign w:val="center"/>
          </w:tcPr>
          <w:p w14:paraId="18033B80" w14:textId="77777777" w:rsidR="00A606EC" w:rsidRPr="001908EE" w:rsidRDefault="00BC1529" w:rsidP="00137017">
            <w:pPr>
              <w:jc w:val="center"/>
              <w:rPr>
                <w:lang w:val="en-US"/>
              </w:rPr>
            </w:pPr>
            <w:r w:rsidRPr="001908EE">
              <w:rPr>
                <w:lang w:val="en-US"/>
              </w:rPr>
              <w:t>**</w:t>
            </w:r>
          </w:p>
        </w:tc>
      </w:tr>
      <w:tr w:rsidR="00A606EC" w:rsidRPr="001908EE" w14:paraId="2D586B15" w14:textId="77777777" w:rsidTr="00137017">
        <w:trPr>
          <w:trHeight w:val="288"/>
        </w:trPr>
        <w:tc>
          <w:tcPr>
            <w:tcW w:w="1560" w:type="dxa"/>
            <w:shd w:val="clear" w:color="auto" w:fill="auto"/>
            <w:tcMar>
              <w:top w:w="0" w:type="dxa"/>
              <w:left w:w="0" w:type="dxa"/>
              <w:bottom w:w="0" w:type="dxa"/>
              <w:right w:w="0" w:type="dxa"/>
            </w:tcMar>
            <w:vAlign w:val="center"/>
          </w:tcPr>
          <w:p w14:paraId="7336F923" w14:textId="77777777" w:rsidR="00A606EC" w:rsidRPr="001908EE" w:rsidRDefault="00BC1529" w:rsidP="00137017">
            <w:pPr>
              <w:jc w:val="center"/>
              <w:rPr>
                <w:lang w:val="en-US"/>
              </w:rPr>
            </w:pPr>
            <w:r w:rsidRPr="001908EE">
              <w:rPr>
                <w:lang w:val="en-US"/>
              </w:rPr>
              <w:t>10th</w:t>
            </w:r>
          </w:p>
        </w:tc>
        <w:tc>
          <w:tcPr>
            <w:tcW w:w="630" w:type="dxa"/>
            <w:shd w:val="clear" w:color="auto" w:fill="auto"/>
            <w:tcMar>
              <w:top w:w="0" w:type="dxa"/>
              <w:left w:w="0" w:type="dxa"/>
              <w:bottom w:w="0" w:type="dxa"/>
              <w:right w:w="0" w:type="dxa"/>
            </w:tcMar>
            <w:vAlign w:val="center"/>
          </w:tcPr>
          <w:p w14:paraId="1F00A1B6" w14:textId="77777777" w:rsidR="00A606EC" w:rsidRPr="001908EE" w:rsidRDefault="00BC1529" w:rsidP="00137017">
            <w:pPr>
              <w:jc w:val="center"/>
              <w:rPr>
                <w:lang w:val="en-US"/>
              </w:rPr>
            </w:pPr>
            <w:r w:rsidRPr="001908EE">
              <w:rPr>
                <w:lang w:val="en-US"/>
              </w:rPr>
              <w:t>18</w:t>
            </w:r>
          </w:p>
        </w:tc>
        <w:tc>
          <w:tcPr>
            <w:tcW w:w="1440" w:type="dxa"/>
            <w:shd w:val="clear" w:color="auto" w:fill="auto"/>
            <w:tcMar>
              <w:top w:w="0" w:type="dxa"/>
              <w:left w:w="0" w:type="dxa"/>
              <w:bottom w:w="0" w:type="dxa"/>
              <w:right w:w="0" w:type="dxa"/>
            </w:tcMar>
            <w:vAlign w:val="center"/>
          </w:tcPr>
          <w:p w14:paraId="76488F77" w14:textId="77777777" w:rsidR="00A606EC" w:rsidRPr="001908EE" w:rsidRDefault="00BC1529" w:rsidP="00137017">
            <w:pPr>
              <w:jc w:val="center"/>
              <w:rPr>
                <w:lang w:val="en-US"/>
              </w:rPr>
            </w:pPr>
            <w:r w:rsidRPr="001908EE">
              <w:rPr>
                <w:lang w:val="en-US"/>
              </w:rPr>
              <w:t>238.8</w:t>
            </w:r>
          </w:p>
        </w:tc>
        <w:tc>
          <w:tcPr>
            <w:tcW w:w="1728" w:type="dxa"/>
            <w:shd w:val="clear" w:color="auto" w:fill="auto"/>
            <w:tcMar>
              <w:top w:w="0" w:type="dxa"/>
              <w:left w:w="0" w:type="dxa"/>
              <w:bottom w:w="0" w:type="dxa"/>
              <w:right w:w="0" w:type="dxa"/>
            </w:tcMar>
            <w:vAlign w:val="center"/>
          </w:tcPr>
          <w:p w14:paraId="58B4CBF4" w14:textId="77777777" w:rsidR="00A606EC" w:rsidRPr="001908EE" w:rsidRDefault="00BC1529" w:rsidP="00137017">
            <w:pPr>
              <w:jc w:val="center"/>
              <w:rPr>
                <w:lang w:val="en-US"/>
              </w:rPr>
            </w:pPr>
            <w:r w:rsidRPr="001908EE">
              <w:rPr>
                <w:lang w:val="en-US"/>
              </w:rPr>
              <w:t>243.2</w:t>
            </w:r>
          </w:p>
        </w:tc>
        <w:tc>
          <w:tcPr>
            <w:tcW w:w="1260" w:type="dxa"/>
            <w:shd w:val="clear" w:color="auto" w:fill="auto"/>
            <w:tcMar>
              <w:top w:w="0" w:type="dxa"/>
              <w:left w:w="0" w:type="dxa"/>
              <w:bottom w:w="0" w:type="dxa"/>
              <w:right w:w="0" w:type="dxa"/>
            </w:tcMar>
            <w:vAlign w:val="center"/>
          </w:tcPr>
          <w:p w14:paraId="2B013612" w14:textId="77777777" w:rsidR="00A606EC" w:rsidRPr="001908EE" w:rsidRDefault="00BC1529" w:rsidP="00137017">
            <w:pPr>
              <w:jc w:val="center"/>
              <w:rPr>
                <w:lang w:val="en-US"/>
              </w:rPr>
            </w:pPr>
            <w:r w:rsidRPr="001908EE">
              <w:rPr>
                <w:lang w:val="en-US"/>
              </w:rPr>
              <w:t>4.4</w:t>
            </w:r>
          </w:p>
        </w:tc>
        <w:tc>
          <w:tcPr>
            <w:tcW w:w="3600" w:type="dxa"/>
            <w:shd w:val="clear" w:color="auto" w:fill="auto"/>
            <w:tcMar>
              <w:top w:w="0" w:type="dxa"/>
              <w:left w:w="0" w:type="dxa"/>
              <w:bottom w:w="0" w:type="dxa"/>
              <w:right w:w="0" w:type="dxa"/>
            </w:tcMar>
            <w:vAlign w:val="center"/>
          </w:tcPr>
          <w:p w14:paraId="68840FA0" w14:textId="77777777" w:rsidR="00A606EC" w:rsidRPr="001908EE" w:rsidRDefault="00BC1529" w:rsidP="00137017">
            <w:pPr>
              <w:jc w:val="center"/>
              <w:rPr>
                <w:lang w:val="en-US"/>
              </w:rPr>
            </w:pPr>
            <w:r w:rsidRPr="001908EE">
              <w:rPr>
                <w:lang w:val="en-US"/>
              </w:rPr>
              <w:t>**</w:t>
            </w:r>
          </w:p>
        </w:tc>
      </w:tr>
      <w:tr w:rsidR="00A606EC" w:rsidRPr="001908EE" w14:paraId="6C88CA2F" w14:textId="77777777" w:rsidTr="00137017">
        <w:trPr>
          <w:trHeight w:val="288"/>
        </w:trPr>
        <w:tc>
          <w:tcPr>
            <w:tcW w:w="1560" w:type="dxa"/>
            <w:shd w:val="clear" w:color="auto" w:fill="auto"/>
            <w:tcMar>
              <w:top w:w="0" w:type="dxa"/>
              <w:left w:w="0" w:type="dxa"/>
              <w:bottom w:w="0" w:type="dxa"/>
              <w:right w:w="0" w:type="dxa"/>
            </w:tcMar>
            <w:vAlign w:val="center"/>
          </w:tcPr>
          <w:p w14:paraId="3410C511" w14:textId="77777777" w:rsidR="00A606EC" w:rsidRPr="001908EE" w:rsidRDefault="00BC1529" w:rsidP="00137017">
            <w:pPr>
              <w:jc w:val="center"/>
              <w:rPr>
                <w:lang w:val="en-US"/>
              </w:rPr>
            </w:pPr>
            <w:r w:rsidRPr="001908EE">
              <w:rPr>
                <w:lang w:val="en-US"/>
              </w:rPr>
              <w:t>11th</w:t>
            </w:r>
          </w:p>
        </w:tc>
        <w:tc>
          <w:tcPr>
            <w:tcW w:w="630" w:type="dxa"/>
            <w:shd w:val="clear" w:color="auto" w:fill="auto"/>
            <w:tcMar>
              <w:top w:w="0" w:type="dxa"/>
              <w:left w:w="0" w:type="dxa"/>
              <w:bottom w:w="0" w:type="dxa"/>
              <w:right w:w="0" w:type="dxa"/>
            </w:tcMar>
            <w:vAlign w:val="center"/>
          </w:tcPr>
          <w:p w14:paraId="0264FF1C" w14:textId="77777777" w:rsidR="00A606EC" w:rsidRPr="001908EE" w:rsidRDefault="00BC1529" w:rsidP="00137017">
            <w:pPr>
              <w:jc w:val="center"/>
              <w:rPr>
                <w:lang w:val="en-US"/>
              </w:rPr>
            </w:pPr>
            <w:r w:rsidRPr="001908EE">
              <w:rPr>
                <w:lang w:val="en-US"/>
              </w:rPr>
              <w:t>18</w:t>
            </w:r>
          </w:p>
        </w:tc>
        <w:tc>
          <w:tcPr>
            <w:tcW w:w="1440" w:type="dxa"/>
            <w:shd w:val="clear" w:color="auto" w:fill="auto"/>
            <w:tcMar>
              <w:top w:w="0" w:type="dxa"/>
              <w:left w:w="0" w:type="dxa"/>
              <w:bottom w:w="0" w:type="dxa"/>
              <w:right w:w="0" w:type="dxa"/>
            </w:tcMar>
            <w:vAlign w:val="center"/>
          </w:tcPr>
          <w:p w14:paraId="779B9828" w14:textId="77777777" w:rsidR="00A606EC" w:rsidRPr="001908EE" w:rsidRDefault="00BC1529" w:rsidP="00137017">
            <w:pPr>
              <w:jc w:val="center"/>
              <w:rPr>
                <w:lang w:val="en-US"/>
              </w:rPr>
            </w:pPr>
            <w:r w:rsidRPr="001908EE">
              <w:rPr>
                <w:lang w:val="en-US"/>
              </w:rPr>
              <w:t>250.1</w:t>
            </w:r>
          </w:p>
        </w:tc>
        <w:tc>
          <w:tcPr>
            <w:tcW w:w="1728" w:type="dxa"/>
            <w:shd w:val="clear" w:color="auto" w:fill="auto"/>
            <w:tcMar>
              <w:top w:w="0" w:type="dxa"/>
              <w:left w:w="0" w:type="dxa"/>
              <w:bottom w:w="0" w:type="dxa"/>
              <w:right w:w="0" w:type="dxa"/>
            </w:tcMar>
            <w:vAlign w:val="center"/>
          </w:tcPr>
          <w:p w14:paraId="27291F36" w14:textId="77777777" w:rsidR="00A606EC" w:rsidRPr="001908EE" w:rsidRDefault="00BC1529" w:rsidP="00137017">
            <w:pPr>
              <w:jc w:val="center"/>
              <w:rPr>
                <w:lang w:val="en-US"/>
              </w:rPr>
            </w:pPr>
            <w:r w:rsidRPr="001908EE">
              <w:rPr>
                <w:lang w:val="en-US"/>
              </w:rPr>
              <w:t>251.8</w:t>
            </w:r>
          </w:p>
        </w:tc>
        <w:tc>
          <w:tcPr>
            <w:tcW w:w="1260" w:type="dxa"/>
            <w:shd w:val="clear" w:color="auto" w:fill="auto"/>
            <w:tcMar>
              <w:top w:w="0" w:type="dxa"/>
              <w:left w:w="0" w:type="dxa"/>
              <w:bottom w:w="0" w:type="dxa"/>
              <w:right w:w="0" w:type="dxa"/>
            </w:tcMar>
            <w:vAlign w:val="center"/>
          </w:tcPr>
          <w:p w14:paraId="6F9F1B94" w14:textId="77777777" w:rsidR="00A606EC" w:rsidRPr="001908EE" w:rsidRDefault="00BC1529" w:rsidP="00137017">
            <w:pPr>
              <w:jc w:val="center"/>
              <w:rPr>
                <w:lang w:val="en-US"/>
              </w:rPr>
            </w:pPr>
            <w:r w:rsidRPr="001908EE">
              <w:rPr>
                <w:lang w:val="en-US"/>
              </w:rPr>
              <w:t>1.8</w:t>
            </w:r>
          </w:p>
        </w:tc>
        <w:tc>
          <w:tcPr>
            <w:tcW w:w="3600" w:type="dxa"/>
            <w:shd w:val="clear" w:color="auto" w:fill="auto"/>
            <w:tcMar>
              <w:top w:w="0" w:type="dxa"/>
              <w:left w:w="0" w:type="dxa"/>
              <w:bottom w:w="0" w:type="dxa"/>
              <w:right w:w="0" w:type="dxa"/>
            </w:tcMar>
            <w:vAlign w:val="center"/>
          </w:tcPr>
          <w:p w14:paraId="45F1E91D" w14:textId="77777777" w:rsidR="00A606EC" w:rsidRPr="001908EE" w:rsidRDefault="00BC1529" w:rsidP="00137017">
            <w:pPr>
              <w:jc w:val="center"/>
              <w:rPr>
                <w:lang w:val="en-US"/>
              </w:rPr>
            </w:pPr>
            <w:r w:rsidRPr="001908EE">
              <w:rPr>
                <w:lang w:val="en-US"/>
              </w:rPr>
              <w:t>**</w:t>
            </w:r>
          </w:p>
        </w:tc>
      </w:tr>
      <w:tr w:rsidR="00A606EC" w:rsidRPr="001908EE" w14:paraId="01A61BA2" w14:textId="77777777" w:rsidTr="00137017">
        <w:trPr>
          <w:trHeight w:val="288"/>
        </w:trPr>
        <w:tc>
          <w:tcPr>
            <w:tcW w:w="1560" w:type="dxa"/>
            <w:shd w:val="clear" w:color="auto" w:fill="auto"/>
            <w:tcMar>
              <w:top w:w="0" w:type="dxa"/>
              <w:left w:w="0" w:type="dxa"/>
              <w:bottom w:w="0" w:type="dxa"/>
              <w:right w:w="0" w:type="dxa"/>
            </w:tcMar>
            <w:vAlign w:val="center"/>
          </w:tcPr>
          <w:p w14:paraId="56C1664F" w14:textId="77777777" w:rsidR="00A606EC" w:rsidRPr="001908EE" w:rsidRDefault="00BC1529" w:rsidP="00137017">
            <w:pPr>
              <w:jc w:val="center"/>
              <w:rPr>
                <w:b/>
                <w:lang w:val="en-US"/>
              </w:rPr>
            </w:pPr>
            <w:r w:rsidRPr="001908EE">
              <w:rPr>
                <w:b/>
                <w:lang w:val="en-US"/>
              </w:rPr>
              <w:t>All Grades</w:t>
            </w:r>
          </w:p>
        </w:tc>
        <w:tc>
          <w:tcPr>
            <w:tcW w:w="630" w:type="dxa"/>
            <w:shd w:val="clear" w:color="auto" w:fill="auto"/>
            <w:tcMar>
              <w:top w:w="0" w:type="dxa"/>
              <w:left w:w="0" w:type="dxa"/>
              <w:bottom w:w="0" w:type="dxa"/>
              <w:right w:w="0" w:type="dxa"/>
            </w:tcMar>
            <w:vAlign w:val="center"/>
          </w:tcPr>
          <w:p w14:paraId="547EBAA4" w14:textId="77777777" w:rsidR="00A606EC" w:rsidRPr="001908EE" w:rsidRDefault="00BC1529" w:rsidP="00137017">
            <w:pPr>
              <w:jc w:val="center"/>
              <w:rPr>
                <w:b/>
                <w:lang w:val="en-US"/>
              </w:rPr>
            </w:pPr>
            <w:r w:rsidRPr="001908EE">
              <w:rPr>
                <w:b/>
                <w:lang w:val="en-US"/>
              </w:rPr>
              <w:t>126</w:t>
            </w:r>
          </w:p>
        </w:tc>
        <w:tc>
          <w:tcPr>
            <w:tcW w:w="1440" w:type="dxa"/>
            <w:shd w:val="clear" w:color="auto" w:fill="auto"/>
            <w:tcMar>
              <w:top w:w="0" w:type="dxa"/>
              <w:left w:w="0" w:type="dxa"/>
              <w:bottom w:w="0" w:type="dxa"/>
              <w:right w:w="0" w:type="dxa"/>
            </w:tcMar>
            <w:vAlign w:val="center"/>
          </w:tcPr>
          <w:p w14:paraId="1CCB0C88" w14:textId="77777777" w:rsidR="00A606EC" w:rsidRPr="001908EE" w:rsidRDefault="00BC1529" w:rsidP="00137017">
            <w:pPr>
              <w:jc w:val="center"/>
              <w:rPr>
                <w:b/>
                <w:lang w:val="en-US"/>
              </w:rPr>
            </w:pPr>
            <w:r w:rsidRPr="001908EE">
              <w:rPr>
                <w:b/>
                <w:lang w:val="en-US"/>
              </w:rPr>
              <w:t>231.8</w:t>
            </w:r>
          </w:p>
        </w:tc>
        <w:tc>
          <w:tcPr>
            <w:tcW w:w="1728" w:type="dxa"/>
            <w:shd w:val="clear" w:color="auto" w:fill="auto"/>
            <w:tcMar>
              <w:top w:w="0" w:type="dxa"/>
              <w:left w:w="0" w:type="dxa"/>
              <w:bottom w:w="0" w:type="dxa"/>
              <w:right w:w="0" w:type="dxa"/>
            </w:tcMar>
            <w:vAlign w:val="center"/>
          </w:tcPr>
          <w:p w14:paraId="34AC86E9" w14:textId="77777777" w:rsidR="00A606EC" w:rsidRPr="001908EE" w:rsidRDefault="00BC1529" w:rsidP="00137017">
            <w:pPr>
              <w:jc w:val="center"/>
              <w:rPr>
                <w:b/>
                <w:lang w:val="en-US"/>
              </w:rPr>
            </w:pPr>
            <w:r w:rsidRPr="001908EE">
              <w:rPr>
                <w:b/>
                <w:lang w:val="en-US"/>
              </w:rPr>
              <w:t>238.0</w:t>
            </w:r>
          </w:p>
        </w:tc>
        <w:tc>
          <w:tcPr>
            <w:tcW w:w="1260" w:type="dxa"/>
            <w:shd w:val="clear" w:color="auto" w:fill="auto"/>
            <w:tcMar>
              <w:top w:w="0" w:type="dxa"/>
              <w:left w:w="0" w:type="dxa"/>
              <w:bottom w:w="0" w:type="dxa"/>
              <w:right w:w="0" w:type="dxa"/>
            </w:tcMar>
            <w:vAlign w:val="center"/>
          </w:tcPr>
          <w:p w14:paraId="59C079C0" w14:textId="77777777" w:rsidR="00A606EC" w:rsidRPr="001908EE" w:rsidRDefault="00BC1529" w:rsidP="00137017">
            <w:pPr>
              <w:jc w:val="center"/>
              <w:rPr>
                <w:b/>
                <w:lang w:val="en-US"/>
              </w:rPr>
            </w:pPr>
            <w:r w:rsidRPr="001908EE">
              <w:rPr>
                <w:b/>
                <w:lang w:val="en-US"/>
              </w:rPr>
              <w:t>6.2*</w:t>
            </w:r>
          </w:p>
        </w:tc>
        <w:tc>
          <w:tcPr>
            <w:tcW w:w="3600" w:type="dxa"/>
            <w:shd w:val="clear" w:color="auto" w:fill="auto"/>
            <w:tcMar>
              <w:top w:w="0" w:type="dxa"/>
              <w:left w:w="0" w:type="dxa"/>
              <w:bottom w:w="0" w:type="dxa"/>
              <w:right w:w="0" w:type="dxa"/>
            </w:tcMar>
            <w:vAlign w:val="center"/>
          </w:tcPr>
          <w:p w14:paraId="480BA42D" w14:textId="77777777" w:rsidR="00A606EC" w:rsidRPr="001908EE" w:rsidRDefault="00137017" w:rsidP="00137017">
            <w:pPr>
              <w:spacing w:line="240" w:lineRule="auto"/>
              <w:contextualSpacing w:val="0"/>
              <w:jc w:val="center"/>
              <w:rPr>
                <w:b/>
                <w:lang w:val="en-US"/>
              </w:rPr>
            </w:pPr>
            <w:r w:rsidRPr="001908EE">
              <w:rPr>
                <w:b/>
                <w:lang w:val="en-US"/>
              </w:rPr>
              <w:t>N/A</w:t>
            </w:r>
          </w:p>
        </w:tc>
      </w:tr>
    </w:tbl>
    <w:p w14:paraId="04F344BB" w14:textId="489BFBC5" w:rsidR="00A606EC" w:rsidRPr="00C17167" w:rsidRDefault="00D26AA1" w:rsidP="00BB6B0C">
      <w:pPr>
        <w:rPr>
          <w:i/>
          <w:lang w:val="en-US"/>
        </w:rPr>
      </w:pPr>
      <w:r w:rsidRPr="00C17167">
        <w:rPr>
          <w:i/>
          <w:lang w:val="en-US"/>
        </w:rPr>
        <w:t>*p&lt;0.05</w:t>
      </w:r>
      <w:r w:rsidR="00C17167" w:rsidRPr="00C17167">
        <w:rPr>
          <w:i/>
          <w:lang w:val="en-US"/>
        </w:rPr>
        <w:t xml:space="preserve">  </w:t>
      </w:r>
      <w:r w:rsidR="00BC1529" w:rsidRPr="00C17167">
        <w:rPr>
          <w:i/>
          <w:lang w:val="en-US"/>
        </w:rPr>
        <w:t>** Already performing above national norm</w:t>
      </w:r>
    </w:p>
    <w:p w14:paraId="03A06732" w14:textId="77777777" w:rsidR="006B071A" w:rsidRPr="001908EE" w:rsidRDefault="006B071A" w:rsidP="00496EC8">
      <w:pPr>
        <w:pStyle w:val="Heading2"/>
        <w:rPr>
          <w:rStyle w:val="Hyperlink"/>
          <w:color w:val="2E7E9D" w:themeColor="accent2" w:themeShade="BF"/>
          <w:lang w:val="en-US"/>
        </w:rPr>
      </w:pPr>
      <w:bookmarkStart w:id="14" w:name="_1vwyztoi7g3d" w:colFirst="0" w:colLast="0"/>
      <w:bookmarkStart w:id="15" w:name="_Toc19177049"/>
      <w:bookmarkEnd w:id="14"/>
      <w:r w:rsidRPr="001908EE">
        <w:rPr>
          <w:rStyle w:val="Hyperlink"/>
          <w:color w:val="2E7E9D" w:themeColor="accent2" w:themeShade="BF"/>
          <w:lang w:val="en-US"/>
        </w:rPr>
        <w:lastRenderedPageBreak/>
        <w:t>Cypress-Fairbanks Independent School District, Texas</w:t>
      </w:r>
      <w:r w:rsidR="001B02A0" w:rsidRPr="001908EE">
        <w:rPr>
          <w:rStyle w:val="Hyperlink"/>
          <w:color w:val="2E7E9D" w:themeColor="accent2" w:themeShade="BF"/>
          <w:lang w:val="en-US"/>
        </w:rPr>
        <w:t xml:space="preserve"> (Level 2)</w:t>
      </w:r>
      <w:bookmarkEnd w:id="15"/>
    </w:p>
    <w:p w14:paraId="3BA3918D" w14:textId="6C6DF3F4" w:rsidR="006B071A" w:rsidRPr="001908EE" w:rsidRDefault="006B071A" w:rsidP="006B071A">
      <w:pPr>
        <w:rPr>
          <w:lang w:val="en-US"/>
        </w:rPr>
      </w:pPr>
      <w:r w:rsidRPr="001908EE">
        <w:rPr>
          <w:lang w:val="en-US"/>
        </w:rPr>
        <w:t>During the 2015, 2016, and 2017 school years, Cypress</w:t>
      </w:r>
      <w:r w:rsidR="003316F8" w:rsidRPr="001908EE">
        <w:rPr>
          <w:lang w:val="en-US"/>
        </w:rPr>
        <w:t>-</w:t>
      </w:r>
      <w:r w:rsidRPr="001908EE">
        <w:rPr>
          <w:lang w:val="en-US"/>
        </w:rPr>
        <w:t>Fairbanks Independent School District (CFISD) students who passed the State of Texas Assessment of Academic Readiness (STAAR) End-of-Course (EOC) assessment, but failed the corresponding course in English I, English II, Algebra I, U.S. History, or Biology, were given the option to retake the failed course in a traditional credit recovery classroom or using an Edgenuity online credit recovery course. Across all subjects and years, results show that students enrolled in Edgenuity’s online English I, English II, Algebra I, U.S. History, and Biology courses obtained more credits (99.7 percent versus 73.8 percent) and achieved higher course grades (79.6 percent versus 64.5 percent) than an equivalent group of students enrolled in a face-to-face credit recovery course.</w:t>
      </w:r>
    </w:p>
    <w:p w14:paraId="0D13A465" w14:textId="77777777" w:rsidR="006B071A" w:rsidRPr="001908EE" w:rsidRDefault="006B071A" w:rsidP="006B071A">
      <w:pPr>
        <w:rPr>
          <w:lang w:val="en-US"/>
        </w:rPr>
      </w:pPr>
    </w:p>
    <w:p w14:paraId="459665D2" w14:textId="5134CE1A" w:rsidR="006B071A" w:rsidRPr="001908EE" w:rsidRDefault="006B071A" w:rsidP="006B071A">
      <w:pPr>
        <w:rPr>
          <w:b/>
          <w:lang w:val="en-US"/>
        </w:rPr>
      </w:pPr>
      <w:r w:rsidRPr="001908EE">
        <w:rPr>
          <w:b/>
          <w:lang w:val="en-US"/>
        </w:rPr>
        <w:t xml:space="preserve">Figure </w:t>
      </w:r>
      <w:r w:rsidR="00787BA1" w:rsidRPr="001908EE">
        <w:rPr>
          <w:b/>
          <w:lang w:val="en-US"/>
        </w:rPr>
        <w:t>7</w:t>
      </w:r>
      <w:r w:rsidRPr="001908EE">
        <w:rPr>
          <w:b/>
          <w:lang w:val="en-US"/>
        </w:rPr>
        <w:t xml:space="preserve">. </w:t>
      </w:r>
      <w:r w:rsidR="00C17167">
        <w:rPr>
          <w:b/>
          <w:lang w:val="en-US"/>
        </w:rPr>
        <w:t>CF</w:t>
      </w:r>
      <w:r w:rsidRPr="001908EE">
        <w:rPr>
          <w:b/>
          <w:lang w:val="en-US"/>
        </w:rPr>
        <w:t>ISD Students, Treatment and Comparison Groups (N</w:t>
      </w:r>
      <w:r w:rsidR="00A33ADF" w:rsidRPr="001908EE">
        <w:rPr>
          <w:b/>
          <w:lang w:val="en-US"/>
        </w:rPr>
        <w:t xml:space="preserve"> </w:t>
      </w:r>
      <w:r w:rsidRPr="001908EE">
        <w:rPr>
          <w:b/>
          <w:lang w:val="en-US"/>
        </w:rPr>
        <w:t>=</w:t>
      </w:r>
      <w:r w:rsidR="00A33ADF" w:rsidRPr="001908EE">
        <w:rPr>
          <w:b/>
          <w:lang w:val="en-US"/>
        </w:rPr>
        <w:t xml:space="preserve"> </w:t>
      </w:r>
      <w:r w:rsidRPr="001908EE">
        <w:rPr>
          <w:b/>
          <w:lang w:val="en-US"/>
        </w:rPr>
        <w:t>1,962)</w:t>
      </w:r>
    </w:p>
    <w:p w14:paraId="35CD0CCB" w14:textId="5FD043A2" w:rsidR="006B071A" w:rsidRPr="001908EE" w:rsidRDefault="006B071A" w:rsidP="006B071A">
      <w:pPr>
        <w:rPr>
          <w:lang w:val="en-US"/>
        </w:rPr>
      </w:pPr>
      <w:r w:rsidRPr="001908EE">
        <w:rPr>
          <w:lang w:val="en-US"/>
        </w:rPr>
        <w:t>Course Grade and Credit Attainment Rates, School Year 2015</w:t>
      </w:r>
      <w:r w:rsidR="0065318D" w:rsidRPr="001908EE">
        <w:rPr>
          <w:lang w:val="en-US"/>
        </w:rPr>
        <w:t>–</w:t>
      </w:r>
      <w:r w:rsidRPr="001908EE">
        <w:rPr>
          <w:lang w:val="en-US"/>
        </w:rPr>
        <w:t>16 to School Year 2017</w:t>
      </w:r>
      <w:r w:rsidR="0065318D" w:rsidRPr="001908EE">
        <w:rPr>
          <w:lang w:val="en-US"/>
        </w:rPr>
        <w:t>–</w:t>
      </w:r>
      <w:r w:rsidRPr="001908EE">
        <w:rPr>
          <w:lang w:val="en-US"/>
        </w:rPr>
        <w:t>18</w:t>
      </w:r>
    </w:p>
    <w:tbl>
      <w:tblPr>
        <w:tblStyle w:val="TableGrid"/>
        <w:tblW w:w="11352" w:type="dxa"/>
        <w:tblInd w:w="-275" w:type="dxa"/>
        <w:tblLook w:val="04A0" w:firstRow="1" w:lastRow="0" w:firstColumn="1" w:lastColumn="0" w:noHBand="0" w:noVBand="1"/>
      </w:tblPr>
      <w:tblGrid>
        <w:gridCol w:w="968"/>
        <w:gridCol w:w="988"/>
        <w:gridCol w:w="1259"/>
        <w:gridCol w:w="938"/>
        <w:gridCol w:w="1108"/>
        <w:gridCol w:w="1039"/>
        <w:gridCol w:w="35"/>
        <w:gridCol w:w="953"/>
        <w:gridCol w:w="1259"/>
        <w:gridCol w:w="938"/>
        <w:gridCol w:w="1108"/>
        <w:gridCol w:w="938"/>
      </w:tblGrid>
      <w:tr w:rsidR="003521D1" w:rsidRPr="001908EE" w14:paraId="6CA2AA50" w14:textId="77777777" w:rsidTr="00C17167">
        <w:tc>
          <w:tcPr>
            <w:tcW w:w="1008" w:type="dxa"/>
            <w:vMerge w:val="restart"/>
            <w:vAlign w:val="bottom"/>
          </w:tcPr>
          <w:p w14:paraId="1670A9FB" w14:textId="77777777" w:rsidR="006B071A" w:rsidRPr="001908EE" w:rsidRDefault="006B071A" w:rsidP="003316F8">
            <w:pPr>
              <w:rPr>
                <w:rFonts w:ascii="Arial Narrow" w:hAnsi="Arial Narrow"/>
                <w:b/>
                <w:lang w:val="en-US"/>
              </w:rPr>
            </w:pPr>
            <w:r w:rsidRPr="001908EE">
              <w:rPr>
                <w:rFonts w:ascii="Arial Narrow" w:hAnsi="Arial Narrow"/>
                <w:b/>
                <w:lang w:val="en-US"/>
              </w:rPr>
              <w:t>Subject</w:t>
            </w:r>
          </w:p>
        </w:tc>
        <w:tc>
          <w:tcPr>
            <w:tcW w:w="5248" w:type="dxa"/>
            <w:gridSpan w:val="6"/>
            <w:shd w:val="clear" w:color="auto" w:fill="22246D" w:themeFill="text2" w:themeFillShade="BF"/>
            <w:vAlign w:val="center"/>
          </w:tcPr>
          <w:p w14:paraId="7B35BAAD"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Treatment Group</w:t>
            </w:r>
          </w:p>
        </w:tc>
        <w:tc>
          <w:tcPr>
            <w:tcW w:w="5096" w:type="dxa"/>
            <w:gridSpan w:val="5"/>
            <w:shd w:val="clear" w:color="auto" w:fill="2E7E9D" w:themeFill="accent2" w:themeFillShade="BF"/>
            <w:vAlign w:val="center"/>
          </w:tcPr>
          <w:p w14:paraId="57477D67" w14:textId="77777777" w:rsidR="006B071A" w:rsidRPr="001908EE" w:rsidRDefault="006B071A" w:rsidP="003316F8">
            <w:pPr>
              <w:jc w:val="center"/>
              <w:rPr>
                <w:rFonts w:ascii="Arial Narrow" w:hAnsi="Arial Narrow"/>
                <w:b/>
                <w:color w:val="FFFFFF" w:themeColor="background1"/>
                <w:lang w:val="en-US"/>
              </w:rPr>
            </w:pPr>
            <w:r w:rsidRPr="001908EE">
              <w:rPr>
                <w:rFonts w:ascii="Arial Narrow" w:hAnsi="Arial Narrow"/>
                <w:b/>
                <w:color w:val="FFFFFF" w:themeColor="background1"/>
                <w:lang w:val="en-US"/>
              </w:rPr>
              <w:t>Comparison Group</w:t>
            </w:r>
          </w:p>
        </w:tc>
      </w:tr>
      <w:tr w:rsidR="003521D1" w:rsidRPr="001908EE" w14:paraId="2ADD995A" w14:textId="77777777" w:rsidTr="00C17167">
        <w:tc>
          <w:tcPr>
            <w:tcW w:w="1008" w:type="dxa"/>
            <w:vMerge/>
          </w:tcPr>
          <w:p w14:paraId="376CAD5C" w14:textId="77777777" w:rsidR="006B071A" w:rsidRPr="001908EE" w:rsidRDefault="006B071A" w:rsidP="003316F8">
            <w:pPr>
              <w:rPr>
                <w:rFonts w:ascii="Arial Narrow" w:hAnsi="Arial Narrow"/>
                <w:lang w:val="en-US"/>
              </w:rPr>
            </w:pPr>
          </w:p>
        </w:tc>
        <w:tc>
          <w:tcPr>
            <w:tcW w:w="967" w:type="dxa"/>
            <w:vAlign w:val="center"/>
          </w:tcPr>
          <w:p w14:paraId="5F436448"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 Students</w:t>
            </w:r>
          </w:p>
        </w:tc>
        <w:tc>
          <w:tcPr>
            <w:tcW w:w="1231" w:type="dxa"/>
            <w:vAlign w:val="center"/>
          </w:tcPr>
          <w:p w14:paraId="376B1166"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 Enrollments</w:t>
            </w:r>
          </w:p>
        </w:tc>
        <w:tc>
          <w:tcPr>
            <w:tcW w:w="919" w:type="dxa"/>
            <w:shd w:val="clear" w:color="auto" w:fill="CECFEF" w:themeFill="text2" w:themeFillTint="33"/>
            <w:vAlign w:val="center"/>
          </w:tcPr>
          <w:p w14:paraId="21873778" w14:textId="02E9F525" w:rsidR="006B071A" w:rsidRPr="001908EE" w:rsidRDefault="001908EE" w:rsidP="003316F8">
            <w:pPr>
              <w:jc w:val="center"/>
              <w:rPr>
                <w:rFonts w:ascii="Arial Narrow" w:hAnsi="Arial Narrow"/>
                <w:b/>
                <w:lang w:val="en-US"/>
              </w:rPr>
            </w:pPr>
            <w:r w:rsidRPr="001908EE">
              <w:rPr>
                <w:rFonts w:ascii="Arial Narrow" w:hAnsi="Arial Narrow"/>
                <w:b/>
                <w:lang w:val="en-US"/>
              </w:rPr>
              <w:t>Avg</w:t>
            </w:r>
            <w:r>
              <w:rPr>
                <w:rFonts w:ascii="Arial Narrow" w:hAnsi="Arial Narrow"/>
                <w:b/>
                <w:lang w:val="en-US"/>
              </w:rPr>
              <w:t>.</w:t>
            </w:r>
            <w:r w:rsidR="006B071A" w:rsidRPr="001908EE">
              <w:rPr>
                <w:rFonts w:ascii="Arial Narrow" w:hAnsi="Arial Narrow"/>
                <w:b/>
                <w:lang w:val="en-US"/>
              </w:rPr>
              <w:t xml:space="preserve"> Grade</w:t>
            </w:r>
          </w:p>
        </w:tc>
        <w:tc>
          <w:tcPr>
            <w:tcW w:w="1084" w:type="dxa"/>
            <w:vAlign w:val="center"/>
          </w:tcPr>
          <w:p w14:paraId="5B67C006"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 Credits Attempted</w:t>
            </w:r>
          </w:p>
        </w:tc>
        <w:tc>
          <w:tcPr>
            <w:tcW w:w="1017" w:type="dxa"/>
            <w:shd w:val="clear" w:color="auto" w:fill="CECFEF" w:themeFill="text2" w:themeFillTint="33"/>
            <w:vAlign w:val="center"/>
          </w:tcPr>
          <w:p w14:paraId="363E8052"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 Credits Earned</w:t>
            </w:r>
          </w:p>
        </w:tc>
        <w:tc>
          <w:tcPr>
            <w:tcW w:w="973" w:type="dxa"/>
            <w:gridSpan w:val="2"/>
            <w:vAlign w:val="center"/>
          </w:tcPr>
          <w:p w14:paraId="16CD90F9"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 Students</w:t>
            </w:r>
          </w:p>
        </w:tc>
        <w:tc>
          <w:tcPr>
            <w:tcW w:w="1231" w:type="dxa"/>
            <w:vAlign w:val="center"/>
          </w:tcPr>
          <w:p w14:paraId="673F695C"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 Enrollments</w:t>
            </w:r>
          </w:p>
        </w:tc>
        <w:tc>
          <w:tcPr>
            <w:tcW w:w="919" w:type="dxa"/>
            <w:shd w:val="clear" w:color="auto" w:fill="DAEDF4" w:themeFill="accent2" w:themeFillTint="33"/>
            <w:vAlign w:val="center"/>
          </w:tcPr>
          <w:p w14:paraId="06B9E483" w14:textId="7438104F" w:rsidR="006B071A" w:rsidRPr="001908EE" w:rsidRDefault="001908EE" w:rsidP="003316F8">
            <w:pPr>
              <w:jc w:val="center"/>
              <w:rPr>
                <w:rFonts w:ascii="Arial Narrow" w:hAnsi="Arial Narrow"/>
                <w:b/>
                <w:lang w:val="en-US"/>
              </w:rPr>
            </w:pPr>
            <w:r w:rsidRPr="001908EE">
              <w:rPr>
                <w:rFonts w:ascii="Arial Narrow" w:hAnsi="Arial Narrow"/>
                <w:b/>
                <w:lang w:val="en-US"/>
              </w:rPr>
              <w:t>Avg</w:t>
            </w:r>
            <w:r>
              <w:rPr>
                <w:rFonts w:ascii="Arial Narrow" w:hAnsi="Arial Narrow"/>
                <w:b/>
                <w:lang w:val="en-US"/>
              </w:rPr>
              <w:t>.</w:t>
            </w:r>
            <w:r w:rsidR="006B071A" w:rsidRPr="001908EE">
              <w:rPr>
                <w:rFonts w:ascii="Arial Narrow" w:hAnsi="Arial Narrow"/>
                <w:b/>
                <w:lang w:val="en-US"/>
              </w:rPr>
              <w:t xml:space="preserve"> Grade</w:t>
            </w:r>
          </w:p>
        </w:tc>
        <w:tc>
          <w:tcPr>
            <w:tcW w:w="1084" w:type="dxa"/>
            <w:vAlign w:val="center"/>
          </w:tcPr>
          <w:p w14:paraId="24803342"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 Credits Attempted</w:t>
            </w:r>
          </w:p>
        </w:tc>
        <w:tc>
          <w:tcPr>
            <w:tcW w:w="919" w:type="dxa"/>
            <w:shd w:val="clear" w:color="auto" w:fill="DAEDF4" w:themeFill="accent2" w:themeFillTint="33"/>
            <w:vAlign w:val="center"/>
          </w:tcPr>
          <w:p w14:paraId="653B3142"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 Credits Earned</w:t>
            </w:r>
          </w:p>
        </w:tc>
      </w:tr>
      <w:tr w:rsidR="003521D1" w:rsidRPr="001908EE" w14:paraId="7C1FE758" w14:textId="77777777" w:rsidTr="00C17167">
        <w:tc>
          <w:tcPr>
            <w:tcW w:w="1008" w:type="dxa"/>
          </w:tcPr>
          <w:p w14:paraId="1250EC83" w14:textId="77777777" w:rsidR="006B071A" w:rsidRPr="001908EE" w:rsidRDefault="006B071A" w:rsidP="003316F8">
            <w:pPr>
              <w:rPr>
                <w:rFonts w:ascii="Arial Narrow" w:hAnsi="Arial Narrow"/>
                <w:lang w:val="en-US"/>
              </w:rPr>
            </w:pPr>
            <w:r w:rsidRPr="001908EE">
              <w:rPr>
                <w:rFonts w:ascii="Arial Narrow" w:hAnsi="Arial Narrow"/>
                <w:lang w:val="en-US"/>
              </w:rPr>
              <w:t>Algebra I</w:t>
            </w:r>
          </w:p>
        </w:tc>
        <w:tc>
          <w:tcPr>
            <w:tcW w:w="967" w:type="dxa"/>
            <w:vAlign w:val="center"/>
          </w:tcPr>
          <w:p w14:paraId="458E16C3" w14:textId="77777777" w:rsidR="006B071A" w:rsidRPr="001908EE" w:rsidRDefault="006B071A" w:rsidP="003316F8">
            <w:pPr>
              <w:jc w:val="center"/>
              <w:rPr>
                <w:rFonts w:ascii="Arial Narrow" w:hAnsi="Arial Narrow"/>
                <w:lang w:val="en-US"/>
              </w:rPr>
            </w:pPr>
            <w:r w:rsidRPr="001908EE">
              <w:rPr>
                <w:rFonts w:ascii="Arial Narrow" w:hAnsi="Arial Narrow"/>
                <w:lang w:val="en-US"/>
              </w:rPr>
              <w:t>128</w:t>
            </w:r>
          </w:p>
        </w:tc>
        <w:tc>
          <w:tcPr>
            <w:tcW w:w="1231" w:type="dxa"/>
            <w:vAlign w:val="center"/>
          </w:tcPr>
          <w:p w14:paraId="770C0104" w14:textId="77777777" w:rsidR="006B071A" w:rsidRPr="001908EE" w:rsidRDefault="006B071A" w:rsidP="003316F8">
            <w:pPr>
              <w:jc w:val="center"/>
              <w:rPr>
                <w:rFonts w:ascii="Arial Narrow" w:hAnsi="Arial Narrow"/>
                <w:lang w:val="en-US"/>
              </w:rPr>
            </w:pPr>
            <w:r w:rsidRPr="001908EE">
              <w:rPr>
                <w:rFonts w:ascii="Arial Narrow" w:hAnsi="Arial Narrow"/>
                <w:lang w:val="en-US"/>
              </w:rPr>
              <w:t>136</w:t>
            </w:r>
          </w:p>
        </w:tc>
        <w:tc>
          <w:tcPr>
            <w:tcW w:w="919" w:type="dxa"/>
            <w:shd w:val="clear" w:color="auto" w:fill="CECFEF" w:themeFill="text2" w:themeFillTint="33"/>
            <w:vAlign w:val="center"/>
          </w:tcPr>
          <w:p w14:paraId="228FEFEA" w14:textId="77777777" w:rsidR="006B071A" w:rsidRPr="001908EE" w:rsidRDefault="006B071A" w:rsidP="003316F8">
            <w:pPr>
              <w:jc w:val="center"/>
              <w:rPr>
                <w:rFonts w:ascii="Arial Narrow" w:hAnsi="Arial Narrow"/>
                <w:lang w:val="en-US"/>
              </w:rPr>
            </w:pPr>
            <w:r w:rsidRPr="001908EE">
              <w:rPr>
                <w:rFonts w:ascii="Arial Narrow" w:hAnsi="Arial Narrow"/>
                <w:lang w:val="en-US"/>
              </w:rPr>
              <w:t>77.0%***</w:t>
            </w:r>
          </w:p>
        </w:tc>
        <w:tc>
          <w:tcPr>
            <w:tcW w:w="1084" w:type="dxa"/>
            <w:vAlign w:val="center"/>
          </w:tcPr>
          <w:p w14:paraId="06F3A86C" w14:textId="77777777" w:rsidR="006B071A" w:rsidRPr="001908EE" w:rsidRDefault="006B071A" w:rsidP="003316F8">
            <w:pPr>
              <w:jc w:val="center"/>
              <w:rPr>
                <w:rFonts w:ascii="Arial Narrow" w:hAnsi="Arial Narrow"/>
                <w:lang w:val="en-US"/>
              </w:rPr>
            </w:pPr>
            <w:r w:rsidRPr="001908EE">
              <w:rPr>
                <w:rFonts w:ascii="Arial Narrow" w:hAnsi="Arial Narrow"/>
                <w:lang w:val="en-US"/>
              </w:rPr>
              <w:t>68</w:t>
            </w:r>
          </w:p>
        </w:tc>
        <w:tc>
          <w:tcPr>
            <w:tcW w:w="1017" w:type="dxa"/>
            <w:shd w:val="clear" w:color="auto" w:fill="CECFEF" w:themeFill="text2" w:themeFillTint="33"/>
            <w:vAlign w:val="center"/>
          </w:tcPr>
          <w:p w14:paraId="4C90E47E" w14:textId="77777777" w:rsidR="006B071A" w:rsidRPr="001908EE" w:rsidRDefault="006B071A" w:rsidP="003316F8">
            <w:pPr>
              <w:jc w:val="center"/>
              <w:rPr>
                <w:rFonts w:ascii="Arial Narrow" w:hAnsi="Arial Narrow"/>
                <w:lang w:val="en-US"/>
              </w:rPr>
            </w:pPr>
            <w:r w:rsidRPr="001908EE">
              <w:rPr>
                <w:rFonts w:ascii="Arial Narrow" w:hAnsi="Arial Narrow"/>
                <w:lang w:val="en-US"/>
              </w:rPr>
              <w:t>99.3%*</w:t>
            </w:r>
          </w:p>
        </w:tc>
        <w:tc>
          <w:tcPr>
            <w:tcW w:w="973" w:type="dxa"/>
            <w:gridSpan w:val="2"/>
            <w:vAlign w:val="center"/>
          </w:tcPr>
          <w:p w14:paraId="6D9A8485" w14:textId="77777777" w:rsidR="006B071A" w:rsidRPr="001908EE" w:rsidRDefault="006B071A" w:rsidP="003316F8">
            <w:pPr>
              <w:jc w:val="center"/>
              <w:rPr>
                <w:rFonts w:ascii="Arial Narrow" w:hAnsi="Arial Narrow"/>
                <w:lang w:val="en-US"/>
              </w:rPr>
            </w:pPr>
            <w:r w:rsidRPr="001908EE">
              <w:rPr>
                <w:rFonts w:ascii="Arial Narrow" w:hAnsi="Arial Narrow"/>
                <w:lang w:val="en-US"/>
              </w:rPr>
              <w:t>128</w:t>
            </w:r>
          </w:p>
        </w:tc>
        <w:tc>
          <w:tcPr>
            <w:tcW w:w="1231" w:type="dxa"/>
            <w:vAlign w:val="center"/>
          </w:tcPr>
          <w:p w14:paraId="5BDADED9" w14:textId="77777777" w:rsidR="006B071A" w:rsidRPr="001908EE" w:rsidRDefault="006B071A" w:rsidP="003316F8">
            <w:pPr>
              <w:jc w:val="center"/>
              <w:rPr>
                <w:rFonts w:ascii="Arial Narrow" w:hAnsi="Arial Narrow"/>
                <w:lang w:val="en-US"/>
              </w:rPr>
            </w:pPr>
            <w:r w:rsidRPr="001908EE">
              <w:rPr>
                <w:rFonts w:ascii="Arial Narrow" w:hAnsi="Arial Narrow"/>
                <w:lang w:val="en-US"/>
              </w:rPr>
              <w:t>185</w:t>
            </w:r>
          </w:p>
        </w:tc>
        <w:tc>
          <w:tcPr>
            <w:tcW w:w="919" w:type="dxa"/>
            <w:shd w:val="clear" w:color="auto" w:fill="DAEDF4" w:themeFill="accent2" w:themeFillTint="33"/>
            <w:vAlign w:val="center"/>
          </w:tcPr>
          <w:p w14:paraId="76A40079" w14:textId="77777777" w:rsidR="006B071A" w:rsidRPr="001908EE" w:rsidRDefault="006B071A" w:rsidP="003316F8">
            <w:pPr>
              <w:jc w:val="center"/>
              <w:rPr>
                <w:rFonts w:ascii="Arial Narrow" w:hAnsi="Arial Narrow"/>
                <w:lang w:val="en-US"/>
              </w:rPr>
            </w:pPr>
            <w:r w:rsidRPr="001908EE">
              <w:rPr>
                <w:rFonts w:ascii="Arial Narrow" w:hAnsi="Arial Narrow"/>
                <w:lang w:val="en-US"/>
              </w:rPr>
              <w:t>65.9%***</w:t>
            </w:r>
          </w:p>
        </w:tc>
        <w:tc>
          <w:tcPr>
            <w:tcW w:w="1084" w:type="dxa"/>
            <w:vAlign w:val="center"/>
          </w:tcPr>
          <w:p w14:paraId="0CB31367" w14:textId="77777777" w:rsidR="006B071A" w:rsidRPr="001908EE" w:rsidRDefault="006B071A" w:rsidP="003316F8">
            <w:pPr>
              <w:jc w:val="center"/>
              <w:rPr>
                <w:rFonts w:ascii="Arial Narrow" w:hAnsi="Arial Narrow"/>
                <w:lang w:val="en-US"/>
              </w:rPr>
            </w:pPr>
            <w:r w:rsidRPr="001908EE">
              <w:rPr>
                <w:rFonts w:ascii="Arial Narrow" w:hAnsi="Arial Narrow"/>
                <w:lang w:val="en-US"/>
              </w:rPr>
              <w:t>92.5</w:t>
            </w:r>
          </w:p>
        </w:tc>
        <w:tc>
          <w:tcPr>
            <w:tcW w:w="919" w:type="dxa"/>
            <w:shd w:val="clear" w:color="auto" w:fill="DAEDF4" w:themeFill="accent2" w:themeFillTint="33"/>
            <w:vAlign w:val="center"/>
          </w:tcPr>
          <w:p w14:paraId="4CFC0A31" w14:textId="77777777" w:rsidR="006B071A" w:rsidRPr="001908EE" w:rsidRDefault="006B071A" w:rsidP="003316F8">
            <w:pPr>
              <w:jc w:val="center"/>
              <w:rPr>
                <w:rFonts w:ascii="Arial Narrow" w:hAnsi="Arial Narrow"/>
                <w:lang w:val="en-US"/>
              </w:rPr>
            </w:pPr>
            <w:r w:rsidRPr="001908EE">
              <w:rPr>
                <w:rFonts w:ascii="Arial Narrow" w:hAnsi="Arial Narrow"/>
                <w:lang w:val="en-US"/>
              </w:rPr>
              <w:t>69.7%*</w:t>
            </w:r>
          </w:p>
        </w:tc>
      </w:tr>
      <w:tr w:rsidR="003521D1" w:rsidRPr="001908EE" w14:paraId="47F0A64D" w14:textId="77777777" w:rsidTr="00C17167">
        <w:tc>
          <w:tcPr>
            <w:tcW w:w="1008" w:type="dxa"/>
          </w:tcPr>
          <w:p w14:paraId="6EFB0A3C" w14:textId="77777777" w:rsidR="006B071A" w:rsidRPr="001908EE" w:rsidRDefault="006B071A" w:rsidP="003316F8">
            <w:pPr>
              <w:rPr>
                <w:rFonts w:ascii="Arial Narrow" w:hAnsi="Arial Narrow"/>
                <w:lang w:val="en-US"/>
              </w:rPr>
            </w:pPr>
            <w:r w:rsidRPr="001908EE">
              <w:rPr>
                <w:rFonts w:ascii="Arial Narrow" w:hAnsi="Arial Narrow"/>
                <w:lang w:val="en-US"/>
              </w:rPr>
              <w:t>English I</w:t>
            </w:r>
          </w:p>
        </w:tc>
        <w:tc>
          <w:tcPr>
            <w:tcW w:w="967" w:type="dxa"/>
            <w:vAlign w:val="center"/>
          </w:tcPr>
          <w:p w14:paraId="2FC495F6" w14:textId="77777777" w:rsidR="006B071A" w:rsidRPr="001908EE" w:rsidRDefault="006B071A" w:rsidP="003316F8">
            <w:pPr>
              <w:jc w:val="center"/>
              <w:rPr>
                <w:rFonts w:ascii="Arial Narrow" w:hAnsi="Arial Narrow"/>
                <w:lang w:val="en-US"/>
              </w:rPr>
            </w:pPr>
            <w:r w:rsidRPr="001908EE">
              <w:rPr>
                <w:rFonts w:ascii="Arial Narrow" w:hAnsi="Arial Narrow"/>
                <w:lang w:val="en-US"/>
              </w:rPr>
              <w:t>127</w:t>
            </w:r>
          </w:p>
        </w:tc>
        <w:tc>
          <w:tcPr>
            <w:tcW w:w="1231" w:type="dxa"/>
            <w:vAlign w:val="center"/>
          </w:tcPr>
          <w:p w14:paraId="23B9C314" w14:textId="77777777" w:rsidR="006B071A" w:rsidRPr="001908EE" w:rsidRDefault="006B071A" w:rsidP="003316F8">
            <w:pPr>
              <w:jc w:val="center"/>
              <w:rPr>
                <w:rFonts w:ascii="Arial Narrow" w:hAnsi="Arial Narrow"/>
                <w:lang w:val="en-US"/>
              </w:rPr>
            </w:pPr>
            <w:r w:rsidRPr="001908EE">
              <w:rPr>
                <w:rFonts w:ascii="Arial Narrow" w:hAnsi="Arial Narrow"/>
                <w:lang w:val="en-US"/>
              </w:rPr>
              <w:t>134</w:t>
            </w:r>
          </w:p>
        </w:tc>
        <w:tc>
          <w:tcPr>
            <w:tcW w:w="919" w:type="dxa"/>
            <w:shd w:val="clear" w:color="auto" w:fill="CECFEF" w:themeFill="text2" w:themeFillTint="33"/>
            <w:vAlign w:val="center"/>
          </w:tcPr>
          <w:p w14:paraId="287D9F66" w14:textId="77777777" w:rsidR="006B071A" w:rsidRPr="001908EE" w:rsidRDefault="006B071A" w:rsidP="003316F8">
            <w:pPr>
              <w:jc w:val="center"/>
              <w:rPr>
                <w:rFonts w:ascii="Arial Narrow" w:hAnsi="Arial Narrow"/>
                <w:lang w:val="en-US"/>
              </w:rPr>
            </w:pPr>
            <w:r w:rsidRPr="001908EE">
              <w:rPr>
                <w:rFonts w:ascii="Arial Narrow" w:hAnsi="Arial Narrow"/>
                <w:lang w:val="en-US"/>
              </w:rPr>
              <w:t>80.3%***</w:t>
            </w:r>
          </w:p>
        </w:tc>
        <w:tc>
          <w:tcPr>
            <w:tcW w:w="1084" w:type="dxa"/>
            <w:vAlign w:val="center"/>
          </w:tcPr>
          <w:p w14:paraId="7658CA51" w14:textId="77777777" w:rsidR="006B071A" w:rsidRPr="001908EE" w:rsidRDefault="006B071A" w:rsidP="003316F8">
            <w:pPr>
              <w:jc w:val="center"/>
              <w:rPr>
                <w:rFonts w:ascii="Arial Narrow" w:hAnsi="Arial Narrow"/>
                <w:lang w:val="en-US"/>
              </w:rPr>
            </w:pPr>
            <w:r w:rsidRPr="001908EE">
              <w:rPr>
                <w:rFonts w:ascii="Arial Narrow" w:hAnsi="Arial Narrow"/>
                <w:lang w:val="en-US"/>
              </w:rPr>
              <w:t>67</w:t>
            </w:r>
          </w:p>
        </w:tc>
        <w:tc>
          <w:tcPr>
            <w:tcW w:w="1017" w:type="dxa"/>
            <w:shd w:val="clear" w:color="auto" w:fill="CECFEF" w:themeFill="text2" w:themeFillTint="33"/>
            <w:vAlign w:val="center"/>
          </w:tcPr>
          <w:p w14:paraId="47568374" w14:textId="77777777" w:rsidR="006B071A" w:rsidRPr="001908EE" w:rsidRDefault="006B071A" w:rsidP="003316F8">
            <w:pPr>
              <w:jc w:val="center"/>
              <w:rPr>
                <w:rFonts w:ascii="Arial Narrow" w:hAnsi="Arial Narrow"/>
                <w:lang w:val="en-US"/>
              </w:rPr>
            </w:pPr>
            <w:r w:rsidRPr="001908EE">
              <w:rPr>
                <w:rFonts w:ascii="Arial Narrow" w:hAnsi="Arial Narrow"/>
                <w:lang w:val="en-US"/>
              </w:rPr>
              <w:t>100.0%*</w:t>
            </w:r>
          </w:p>
        </w:tc>
        <w:tc>
          <w:tcPr>
            <w:tcW w:w="973" w:type="dxa"/>
            <w:gridSpan w:val="2"/>
            <w:vAlign w:val="center"/>
          </w:tcPr>
          <w:p w14:paraId="5CFDE70F" w14:textId="77777777" w:rsidR="006B071A" w:rsidRPr="001908EE" w:rsidRDefault="006B071A" w:rsidP="003316F8">
            <w:pPr>
              <w:jc w:val="center"/>
              <w:rPr>
                <w:rFonts w:ascii="Arial Narrow" w:hAnsi="Arial Narrow"/>
                <w:lang w:val="en-US"/>
              </w:rPr>
            </w:pPr>
            <w:r w:rsidRPr="001908EE">
              <w:rPr>
                <w:rFonts w:ascii="Arial Narrow" w:hAnsi="Arial Narrow"/>
                <w:lang w:val="en-US"/>
              </w:rPr>
              <w:t>127</w:t>
            </w:r>
          </w:p>
        </w:tc>
        <w:tc>
          <w:tcPr>
            <w:tcW w:w="1231" w:type="dxa"/>
            <w:vAlign w:val="center"/>
          </w:tcPr>
          <w:p w14:paraId="13961633" w14:textId="77777777" w:rsidR="006B071A" w:rsidRPr="001908EE" w:rsidRDefault="006B071A" w:rsidP="003316F8">
            <w:pPr>
              <w:jc w:val="center"/>
              <w:rPr>
                <w:rFonts w:ascii="Arial Narrow" w:hAnsi="Arial Narrow"/>
                <w:lang w:val="en-US"/>
              </w:rPr>
            </w:pPr>
            <w:r w:rsidRPr="001908EE">
              <w:rPr>
                <w:rFonts w:ascii="Arial Narrow" w:hAnsi="Arial Narrow"/>
                <w:lang w:val="en-US"/>
              </w:rPr>
              <w:t>151</w:t>
            </w:r>
          </w:p>
        </w:tc>
        <w:tc>
          <w:tcPr>
            <w:tcW w:w="919" w:type="dxa"/>
            <w:shd w:val="clear" w:color="auto" w:fill="DAEDF4" w:themeFill="accent2" w:themeFillTint="33"/>
            <w:vAlign w:val="center"/>
          </w:tcPr>
          <w:p w14:paraId="7FDE5DA4" w14:textId="77777777" w:rsidR="006B071A" w:rsidRPr="001908EE" w:rsidRDefault="006B071A" w:rsidP="003316F8">
            <w:pPr>
              <w:jc w:val="center"/>
              <w:rPr>
                <w:rFonts w:ascii="Arial Narrow" w:hAnsi="Arial Narrow"/>
                <w:lang w:val="en-US"/>
              </w:rPr>
            </w:pPr>
            <w:r w:rsidRPr="001908EE">
              <w:rPr>
                <w:rFonts w:ascii="Arial Narrow" w:hAnsi="Arial Narrow"/>
                <w:lang w:val="en-US"/>
              </w:rPr>
              <w:t>62.4%***</w:t>
            </w:r>
          </w:p>
        </w:tc>
        <w:tc>
          <w:tcPr>
            <w:tcW w:w="1084" w:type="dxa"/>
            <w:vAlign w:val="center"/>
          </w:tcPr>
          <w:p w14:paraId="10BB68D9" w14:textId="77777777" w:rsidR="006B071A" w:rsidRPr="001908EE" w:rsidRDefault="006B071A" w:rsidP="003316F8">
            <w:pPr>
              <w:jc w:val="center"/>
              <w:rPr>
                <w:rFonts w:ascii="Arial Narrow" w:hAnsi="Arial Narrow"/>
                <w:lang w:val="en-US"/>
              </w:rPr>
            </w:pPr>
            <w:r w:rsidRPr="001908EE">
              <w:rPr>
                <w:rFonts w:ascii="Arial Narrow" w:hAnsi="Arial Narrow"/>
                <w:lang w:val="en-US"/>
              </w:rPr>
              <w:t>75.5</w:t>
            </w:r>
          </w:p>
        </w:tc>
        <w:tc>
          <w:tcPr>
            <w:tcW w:w="919" w:type="dxa"/>
            <w:shd w:val="clear" w:color="auto" w:fill="DAEDF4" w:themeFill="accent2" w:themeFillTint="33"/>
            <w:vAlign w:val="center"/>
          </w:tcPr>
          <w:p w14:paraId="00B20183" w14:textId="77777777" w:rsidR="006B071A" w:rsidRPr="001908EE" w:rsidRDefault="006B071A" w:rsidP="003316F8">
            <w:pPr>
              <w:jc w:val="center"/>
              <w:rPr>
                <w:rFonts w:ascii="Arial Narrow" w:hAnsi="Arial Narrow"/>
                <w:lang w:val="en-US"/>
              </w:rPr>
            </w:pPr>
            <w:r w:rsidRPr="001908EE">
              <w:rPr>
                <w:rFonts w:ascii="Arial Narrow" w:hAnsi="Arial Narrow"/>
                <w:lang w:val="en-US"/>
              </w:rPr>
              <w:t>68.2%*</w:t>
            </w:r>
          </w:p>
        </w:tc>
      </w:tr>
      <w:tr w:rsidR="003521D1" w:rsidRPr="001908EE" w14:paraId="2C230AC4" w14:textId="77777777" w:rsidTr="00C17167">
        <w:tc>
          <w:tcPr>
            <w:tcW w:w="1008" w:type="dxa"/>
          </w:tcPr>
          <w:p w14:paraId="7628BC26" w14:textId="77777777" w:rsidR="006B071A" w:rsidRPr="001908EE" w:rsidRDefault="006B071A" w:rsidP="003316F8">
            <w:pPr>
              <w:rPr>
                <w:rFonts w:ascii="Arial Narrow" w:hAnsi="Arial Narrow"/>
                <w:lang w:val="en-US"/>
              </w:rPr>
            </w:pPr>
            <w:r w:rsidRPr="001908EE">
              <w:rPr>
                <w:rFonts w:ascii="Arial Narrow" w:hAnsi="Arial Narrow"/>
                <w:lang w:val="en-US"/>
              </w:rPr>
              <w:t>English II</w:t>
            </w:r>
          </w:p>
        </w:tc>
        <w:tc>
          <w:tcPr>
            <w:tcW w:w="967" w:type="dxa"/>
            <w:vAlign w:val="center"/>
          </w:tcPr>
          <w:p w14:paraId="13C703DB" w14:textId="77777777" w:rsidR="006B071A" w:rsidRPr="001908EE" w:rsidRDefault="006B071A" w:rsidP="003316F8">
            <w:pPr>
              <w:jc w:val="center"/>
              <w:rPr>
                <w:rFonts w:ascii="Arial Narrow" w:hAnsi="Arial Narrow"/>
                <w:lang w:val="en-US"/>
              </w:rPr>
            </w:pPr>
            <w:r w:rsidRPr="001908EE">
              <w:rPr>
                <w:rFonts w:ascii="Arial Narrow" w:hAnsi="Arial Narrow"/>
                <w:lang w:val="en-US"/>
              </w:rPr>
              <w:t>207</w:t>
            </w:r>
          </w:p>
        </w:tc>
        <w:tc>
          <w:tcPr>
            <w:tcW w:w="1231" w:type="dxa"/>
            <w:vAlign w:val="center"/>
          </w:tcPr>
          <w:p w14:paraId="54EB9A63" w14:textId="77777777" w:rsidR="006B071A" w:rsidRPr="001908EE" w:rsidRDefault="006B071A" w:rsidP="003316F8">
            <w:pPr>
              <w:jc w:val="center"/>
              <w:rPr>
                <w:rFonts w:ascii="Arial Narrow" w:hAnsi="Arial Narrow"/>
                <w:lang w:val="en-US"/>
              </w:rPr>
            </w:pPr>
            <w:r w:rsidRPr="001908EE">
              <w:rPr>
                <w:rFonts w:ascii="Arial Narrow" w:hAnsi="Arial Narrow"/>
                <w:lang w:val="en-US"/>
              </w:rPr>
              <w:t>220</w:t>
            </w:r>
          </w:p>
        </w:tc>
        <w:tc>
          <w:tcPr>
            <w:tcW w:w="919" w:type="dxa"/>
            <w:shd w:val="clear" w:color="auto" w:fill="CECFEF" w:themeFill="text2" w:themeFillTint="33"/>
            <w:vAlign w:val="center"/>
          </w:tcPr>
          <w:p w14:paraId="6D8E99C9" w14:textId="77777777" w:rsidR="006B071A" w:rsidRPr="001908EE" w:rsidRDefault="006B071A" w:rsidP="003316F8">
            <w:pPr>
              <w:jc w:val="center"/>
              <w:rPr>
                <w:rFonts w:ascii="Arial Narrow" w:hAnsi="Arial Narrow"/>
                <w:lang w:val="en-US"/>
              </w:rPr>
            </w:pPr>
            <w:r w:rsidRPr="001908EE">
              <w:rPr>
                <w:rFonts w:ascii="Arial Narrow" w:hAnsi="Arial Narrow"/>
                <w:lang w:val="en-US"/>
              </w:rPr>
              <w:t>79.1%***</w:t>
            </w:r>
          </w:p>
        </w:tc>
        <w:tc>
          <w:tcPr>
            <w:tcW w:w="1084" w:type="dxa"/>
            <w:vAlign w:val="center"/>
          </w:tcPr>
          <w:p w14:paraId="12AE9B59" w14:textId="77777777" w:rsidR="006B071A" w:rsidRPr="001908EE" w:rsidRDefault="006B071A" w:rsidP="003316F8">
            <w:pPr>
              <w:jc w:val="center"/>
              <w:rPr>
                <w:rFonts w:ascii="Arial Narrow" w:hAnsi="Arial Narrow"/>
                <w:lang w:val="en-US"/>
              </w:rPr>
            </w:pPr>
            <w:r w:rsidRPr="001908EE">
              <w:rPr>
                <w:rFonts w:ascii="Arial Narrow" w:hAnsi="Arial Narrow"/>
                <w:lang w:val="en-US"/>
              </w:rPr>
              <w:t>110</w:t>
            </w:r>
          </w:p>
        </w:tc>
        <w:tc>
          <w:tcPr>
            <w:tcW w:w="1017" w:type="dxa"/>
            <w:shd w:val="clear" w:color="auto" w:fill="CECFEF" w:themeFill="text2" w:themeFillTint="33"/>
            <w:vAlign w:val="center"/>
          </w:tcPr>
          <w:p w14:paraId="4F8A6B64" w14:textId="77777777" w:rsidR="006B071A" w:rsidRPr="001908EE" w:rsidRDefault="006B071A" w:rsidP="003316F8">
            <w:pPr>
              <w:jc w:val="center"/>
              <w:rPr>
                <w:rFonts w:ascii="Arial Narrow" w:hAnsi="Arial Narrow"/>
                <w:lang w:val="en-US"/>
              </w:rPr>
            </w:pPr>
            <w:r w:rsidRPr="001908EE">
              <w:rPr>
                <w:rFonts w:ascii="Arial Narrow" w:hAnsi="Arial Narrow"/>
                <w:lang w:val="en-US"/>
              </w:rPr>
              <w:t>100.0%***</w:t>
            </w:r>
          </w:p>
        </w:tc>
        <w:tc>
          <w:tcPr>
            <w:tcW w:w="973" w:type="dxa"/>
            <w:gridSpan w:val="2"/>
            <w:vAlign w:val="center"/>
          </w:tcPr>
          <w:p w14:paraId="0C46AECD" w14:textId="77777777" w:rsidR="006B071A" w:rsidRPr="001908EE" w:rsidRDefault="006B071A" w:rsidP="003316F8">
            <w:pPr>
              <w:jc w:val="center"/>
              <w:rPr>
                <w:rFonts w:ascii="Arial Narrow" w:hAnsi="Arial Narrow"/>
                <w:lang w:val="en-US"/>
              </w:rPr>
            </w:pPr>
            <w:r w:rsidRPr="001908EE">
              <w:rPr>
                <w:rFonts w:ascii="Arial Narrow" w:hAnsi="Arial Narrow"/>
                <w:lang w:val="en-US"/>
              </w:rPr>
              <w:t>207</w:t>
            </w:r>
          </w:p>
        </w:tc>
        <w:tc>
          <w:tcPr>
            <w:tcW w:w="1231" w:type="dxa"/>
            <w:vAlign w:val="center"/>
          </w:tcPr>
          <w:p w14:paraId="0EACAF4A" w14:textId="77777777" w:rsidR="006B071A" w:rsidRPr="001908EE" w:rsidRDefault="006B071A" w:rsidP="003316F8">
            <w:pPr>
              <w:jc w:val="center"/>
              <w:rPr>
                <w:rFonts w:ascii="Arial Narrow" w:hAnsi="Arial Narrow"/>
                <w:lang w:val="en-US"/>
              </w:rPr>
            </w:pPr>
            <w:r w:rsidRPr="001908EE">
              <w:rPr>
                <w:rFonts w:ascii="Arial Narrow" w:hAnsi="Arial Narrow"/>
                <w:lang w:val="en-US"/>
              </w:rPr>
              <w:t>255</w:t>
            </w:r>
          </w:p>
        </w:tc>
        <w:tc>
          <w:tcPr>
            <w:tcW w:w="919" w:type="dxa"/>
            <w:shd w:val="clear" w:color="auto" w:fill="DAEDF4" w:themeFill="accent2" w:themeFillTint="33"/>
            <w:vAlign w:val="center"/>
          </w:tcPr>
          <w:p w14:paraId="11CD61EF" w14:textId="77777777" w:rsidR="006B071A" w:rsidRPr="001908EE" w:rsidRDefault="006B071A" w:rsidP="003316F8">
            <w:pPr>
              <w:jc w:val="center"/>
              <w:rPr>
                <w:rFonts w:ascii="Arial Narrow" w:hAnsi="Arial Narrow"/>
                <w:lang w:val="en-US"/>
              </w:rPr>
            </w:pPr>
            <w:r w:rsidRPr="001908EE">
              <w:rPr>
                <w:rFonts w:ascii="Arial Narrow" w:hAnsi="Arial Narrow"/>
                <w:lang w:val="en-US"/>
              </w:rPr>
              <w:t>65.2%***</w:t>
            </w:r>
          </w:p>
        </w:tc>
        <w:tc>
          <w:tcPr>
            <w:tcW w:w="1084" w:type="dxa"/>
            <w:vAlign w:val="center"/>
          </w:tcPr>
          <w:p w14:paraId="0F32BC35" w14:textId="77777777" w:rsidR="006B071A" w:rsidRPr="001908EE" w:rsidRDefault="006B071A" w:rsidP="003316F8">
            <w:pPr>
              <w:jc w:val="center"/>
              <w:rPr>
                <w:rFonts w:ascii="Arial Narrow" w:hAnsi="Arial Narrow"/>
                <w:lang w:val="en-US"/>
              </w:rPr>
            </w:pPr>
            <w:r w:rsidRPr="001908EE">
              <w:rPr>
                <w:rFonts w:ascii="Arial Narrow" w:hAnsi="Arial Narrow"/>
                <w:lang w:val="en-US"/>
              </w:rPr>
              <w:t>127.5</w:t>
            </w:r>
          </w:p>
        </w:tc>
        <w:tc>
          <w:tcPr>
            <w:tcW w:w="919" w:type="dxa"/>
            <w:shd w:val="clear" w:color="auto" w:fill="DAEDF4" w:themeFill="accent2" w:themeFillTint="33"/>
            <w:vAlign w:val="center"/>
          </w:tcPr>
          <w:p w14:paraId="286B0171" w14:textId="77777777" w:rsidR="006B071A" w:rsidRPr="001908EE" w:rsidRDefault="006B071A" w:rsidP="003316F8">
            <w:pPr>
              <w:jc w:val="center"/>
              <w:rPr>
                <w:rFonts w:ascii="Arial Narrow" w:hAnsi="Arial Narrow"/>
                <w:lang w:val="en-US"/>
              </w:rPr>
            </w:pPr>
            <w:r w:rsidRPr="001908EE">
              <w:rPr>
                <w:rFonts w:ascii="Arial Narrow" w:hAnsi="Arial Narrow"/>
                <w:lang w:val="en-US"/>
              </w:rPr>
              <w:t>76.9%***</w:t>
            </w:r>
          </w:p>
        </w:tc>
      </w:tr>
      <w:tr w:rsidR="003521D1" w:rsidRPr="001908EE" w14:paraId="1D684356" w14:textId="77777777" w:rsidTr="00C17167">
        <w:tc>
          <w:tcPr>
            <w:tcW w:w="1008" w:type="dxa"/>
          </w:tcPr>
          <w:p w14:paraId="5760DC51" w14:textId="77777777" w:rsidR="006B071A" w:rsidRPr="001908EE" w:rsidRDefault="006B071A" w:rsidP="003316F8">
            <w:pPr>
              <w:rPr>
                <w:rFonts w:ascii="Arial Narrow" w:hAnsi="Arial Narrow"/>
                <w:lang w:val="en-US"/>
              </w:rPr>
            </w:pPr>
            <w:r w:rsidRPr="001908EE">
              <w:rPr>
                <w:rFonts w:ascii="Arial Narrow" w:hAnsi="Arial Narrow"/>
                <w:lang w:val="en-US"/>
              </w:rPr>
              <w:t>Biology</w:t>
            </w:r>
          </w:p>
        </w:tc>
        <w:tc>
          <w:tcPr>
            <w:tcW w:w="967" w:type="dxa"/>
            <w:vAlign w:val="center"/>
          </w:tcPr>
          <w:p w14:paraId="39F0E478" w14:textId="77777777" w:rsidR="006B071A" w:rsidRPr="001908EE" w:rsidRDefault="006B071A" w:rsidP="003316F8">
            <w:pPr>
              <w:jc w:val="center"/>
              <w:rPr>
                <w:rFonts w:ascii="Arial Narrow" w:hAnsi="Arial Narrow"/>
                <w:lang w:val="en-US"/>
              </w:rPr>
            </w:pPr>
            <w:r w:rsidRPr="001908EE">
              <w:rPr>
                <w:rFonts w:ascii="Arial Narrow" w:hAnsi="Arial Narrow"/>
                <w:lang w:val="en-US"/>
              </w:rPr>
              <w:t>215</w:t>
            </w:r>
          </w:p>
        </w:tc>
        <w:tc>
          <w:tcPr>
            <w:tcW w:w="1231" w:type="dxa"/>
            <w:vAlign w:val="center"/>
          </w:tcPr>
          <w:p w14:paraId="6979AFA6" w14:textId="77777777" w:rsidR="006B071A" w:rsidRPr="001908EE" w:rsidRDefault="006B071A" w:rsidP="003316F8">
            <w:pPr>
              <w:jc w:val="center"/>
              <w:rPr>
                <w:rFonts w:ascii="Arial Narrow" w:hAnsi="Arial Narrow"/>
                <w:lang w:val="en-US"/>
              </w:rPr>
            </w:pPr>
            <w:r w:rsidRPr="001908EE">
              <w:rPr>
                <w:rFonts w:ascii="Arial Narrow" w:hAnsi="Arial Narrow"/>
                <w:lang w:val="en-US"/>
              </w:rPr>
              <w:t>222</w:t>
            </w:r>
          </w:p>
        </w:tc>
        <w:tc>
          <w:tcPr>
            <w:tcW w:w="919" w:type="dxa"/>
            <w:shd w:val="clear" w:color="auto" w:fill="CECFEF" w:themeFill="text2" w:themeFillTint="33"/>
            <w:vAlign w:val="center"/>
          </w:tcPr>
          <w:p w14:paraId="7C546E42" w14:textId="77777777" w:rsidR="006B071A" w:rsidRPr="001908EE" w:rsidRDefault="006B071A" w:rsidP="003316F8">
            <w:pPr>
              <w:jc w:val="center"/>
              <w:rPr>
                <w:rFonts w:ascii="Arial Narrow" w:hAnsi="Arial Narrow"/>
                <w:lang w:val="en-US"/>
              </w:rPr>
            </w:pPr>
            <w:r w:rsidRPr="001908EE">
              <w:rPr>
                <w:rFonts w:ascii="Arial Narrow" w:hAnsi="Arial Narrow"/>
                <w:lang w:val="en-US"/>
              </w:rPr>
              <w:t>79.5%***</w:t>
            </w:r>
          </w:p>
        </w:tc>
        <w:tc>
          <w:tcPr>
            <w:tcW w:w="1084" w:type="dxa"/>
            <w:vAlign w:val="center"/>
          </w:tcPr>
          <w:p w14:paraId="4E16DCF3" w14:textId="77777777" w:rsidR="006B071A" w:rsidRPr="001908EE" w:rsidRDefault="006B071A" w:rsidP="003316F8">
            <w:pPr>
              <w:jc w:val="center"/>
              <w:rPr>
                <w:rFonts w:ascii="Arial Narrow" w:hAnsi="Arial Narrow"/>
                <w:lang w:val="en-US"/>
              </w:rPr>
            </w:pPr>
            <w:r w:rsidRPr="001908EE">
              <w:rPr>
                <w:rFonts w:ascii="Arial Narrow" w:hAnsi="Arial Narrow"/>
                <w:lang w:val="en-US"/>
              </w:rPr>
              <w:t>111</w:t>
            </w:r>
          </w:p>
        </w:tc>
        <w:tc>
          <w:tcPr>
            <w:tcW w:w="1017" w:type="dxa"/>
            <w:shd w:val="clear" w:color="auto" w:fill="CECFEF" w:themeFill="text2" w:themeFillTint="33"/>
            <w:vAlign w:val="center"/>
          </w:tcPr>
          <w:p w14:paraId="5E274399" w14:textId="77777777" w:rsidR="006B071A" w:rsidRPr="001908EE" w:rsidRDefault="006B071A" w:rsidP="003316F8">
            <w:pPr>
              <w:jc w:val="center"/>
              <w:rPr>
                <w:rFonts w:ascii="Arial Narrow" w:hAnsi="Arial Narrow"/>
                <w:lang w:val="en-US"/>
              </w:rPr>
            </w:pPr>
            <w:r w:rsidRPr="001908EE">
              <w:rPr>
                <w:rFonts w:ascii="Arial Narrow" w:hAnsi="Arial Narrow"/>
                <w:lang w:val="en-US"/>
              </w:rPr>
              <w:t>100.0%**</w:t>
            </w:r>
          </w:p>
        </w:tc>
        <w:tc>
          <w:tcPr>
            <w:tcW w:w="973" w:type="dxa"/>
            <w:gridSpan w:val="2"/>
            <w:vAlign w:val="center"/>
          </w:tcPr>
          <w:p w14:paraId="23591EF3" w14:textId="77777777" w:rsidR="006B071A" w:rsidRPr="001908EE" w:rsidRDefault="006B071A" w:rsidP="003316F8">
            <w:pPr>
              <w:jc w:val="center"/>
              <w:rPr>
                <w:rFonts w:ascii="Arial Narrow" w:hAnsi="Arial Narrow"/>
                <w:lang w:val="en-US"/>
              </w:rPr>
            </w:pPr>
            <w:r w:rsidRPr="001908EE">
              <w:rPr>
                <w:rFonts w:ascii="Arial Narrow" w:hAnsi="Arial Narrow"/>
                <w:lang w:val="en-US"/>
              </w:rPr>
              <w:t>215</w:t>
            </w:r>
          </w:p>
        </w:tc>
        <w:tc>
          <w:tcPr>
            <w:tcW w:w="1231" w:type="dxa"/>
            <w:vAlign w:val="center"/>
          </w:tcPr>
          <w:p w14:paraId="2D050601" w14:textId="77777777" w:rsidR="006B071A" w:rsidRPr="001908EE" w:rsidRDefault="006B071A" w:rsidP="003316F8">
            <w:pPr>
              <w:jc w:val="center"/>
              <w:rPr>
                <w:rFonts w:ascii="Arial Narrow" w:hAnsi="Arial Narrow"/>
                <w:lang w:val="en-US"/>
              </w:rPr>
            </w:pPr>
            <w:r w:rsidRPr="001908EE">
              <w:rPr>
                <w:rFonts w:ascii="Arial Narrow" w:hAnsi="Arial Narrow"/>
                <w:lang w:val="en-US"/>
              </w:rPr>
              <w:t>282</w:t>
            </w:r>
          </w:p>
        </w:tc>
        <w:tc>
          <w:tcPr>
            <w:tcW w:w="919" w:type="dxa"/>
            <w:shd w:val="clear" w:color="auto" w:fill="DAEDF4" w:themeFill="accent2" w:themeFillTint="33"/>
            <w:vAlign w:val="center"/>
          </w:tcPr>
          <w:p w14:paraId="34C410E8" w14:textId="77777777" w:rsidR="006B071A" w:rsidRPr="001908EE" w:rsidRDefault="006B071A" w:rsidP="003316F8">
            <w:pPr>
              <w:jc w:val="center"/>
              <w:rPr>
                <w:rFonts w:ascii="Arial Narrow" w:hAnsi="Arial Narrow"/>
                <w:lang w:val="en-US"/>
              </w:rPr>
            </w:pPr>
            <w:r w:rsidRPr="001908EE">
              <w:rPr>
                <w:rFonts w:ascii="Arial Narrow" w:hAnsi="Arial Narrow"/>
                <w:lang w:val="en-US"/>
              </w:rPr>
              <w:t>62.4%***</w:t>
            </w:r>
          </w:p>
        </w:tc>
        <w:tc>
          <w:tcPr>
            <w:tcW w:w="1084" w:type="dxa"/>
            <w:vAlign w:val="center"/>
          </w:tcPr>
          <w:p w14:paraId="60C96521" w14:textId="77777777" w:rsidR="006B071A" w:rsidRPr="001908EE" w:rsidRDefault="006B071A" w:rsidP="003316F8">
            <w:pPr>
              <w:jc w:val="center"/>
              <w:rPr>
                <w:rFonts w:ascii="Arial Narrow" w:hAnsi="Arial Narrow"/>
                <w:lang w:val="en-US"/>
              </w:rPr>
            </w:pPr>
            <w:r w:rsidRPr="001908EE">
              <w:rPr>
                <w:rFonts w:ascii="Arial Narrow" w:hAnsi="Arial Narrow"/>
                <w:lang w:val="en-US"/>
              </w:rPr>
              <w:t>141</w:t>
            </w:r>
          </w:p>
        </w:tc>
        <w:tc>
          <w:tcPr>
            <w:tcW w:w="919" w:type="dxa"/>
            <w:shd w:val="clear" w:color="auto" w:fill="DAEDF4" w:themeFill="accent2" w:themeFillTint="33"/>
            <w:vAlign w:val="center"/>
          </w:tcPr>
          <w:p w14:paraId="29397C74" w14:textId="77777777" w:rsidR="006B071A" w:rsidRPr="001908EE" w:rsidRDefault="006B071A" w:rsidP="003316F8">
            <w:pPr>
              <w:jc w:val="center"/>
              <w:rPr>
                <w:rFonts w:ascii="Arial Narrow" w:hAnsi="Arial Narrow"/>
                <w:lang w:val="en-US"/>
              </w:rPr>
            </w:pPr>
            <w:r w:rsidRPr="001908EE">
              <w:rPr>
                <w:rFonts w:ascii="Arial Narrow" w:hAnsi="Arial Narrow"/>
                <w:lang w:val="en-US"/>
              </w:rPr>
              <w:t>70.6%**</w:t>
            </w:r>
          </w:p>
        </w:tc>
      </w:tr>
      <w:tr w:rsidR="003521D1" w:rsidRPr="001908EE" w14:paraId="7D1C1045" w14:textId="77777777" w:rsidTr="00C17167">
        <w:tc>
          <w:tcPr>
            <w:tcW w:w="1008" w:type="dxa"/>
          </w:tcPr>
          <w:p w14:paraId="43EC01E0" w14:textId="77777777" w:rsidR="006B071A" w:rsidRPr="001908EE" w:rsidRDefault="006B071A" w:rsidP="003316F8">
            <w:pPr>
              <w:rPr>
                <w:rFonts w:ascii="Arial Narrow" w:hAnsi="Arial Narrow"/>
                <w:lang w:val="en-US"/>
              </w:rPr>
            </w:pPr>
            <w:r w:rsidRPr="001908EE">
              <w:rPr>
                <w:rFonts w:ascii="Arial Narrow" w:hAnsi="Arial Narrow"/>
                <w:lang w:val="en-US"/>
              </w:rPr>
              <w:t>U.S. History</w:t>
            </w:r>
          </w:p>
        </w:tc>
        <w:tc>
          <w:tcPr>
            <w:tcW w:w="967" w:type="dxa"/>
            <w:vAlign w:val="center"/>
          </w:tcPr>
          <w:p w14:paraId="5010BABA" w14:textId="77777777" w:rsidR="006B071A" w:rsidRPr="001908EE" w:rsidRDefault="006B071A" w:rsidP="003316F8">
            <w:pPr>
              <w:jc w:val="center"/>
              <w:rPr>
                <w:rFonts w:ascii="Arial Narrow" w:hAnsi="Arial Narrow"/>
                <w:lang w:val="en-US"/>
              </w:rPr>
            </w:pPr>
            <w:r w:rsidRPr="001908EE">
              <w:rPr>
                <w:rFonts w:ascii="Arial Narrow" w:hAnsi="Arial Narrow"/>
                <w:lang w:val="en-US"/>
              </w:rPr>
              <w:t>304</w:t>
            </w:r>
          </w:p>
        </w:tc>
        <w:tc>
          <w:tcPr>
            <w:tcW w:w="1231" w:type="dxa"/>
            <w:vAlign w:val="center"/>
          </w:tcPr>
          <w:p w14:paraId="2CD84EEF" w14:textId="77777777" w:rsidR="006B071A" w:rsidRPr="001908EE" w:rsidRDefault="006B071A" w:rsidP="003316F8">
            <w:pPr>
              <w:jc w:val="center"/>
              <w:rPr>
                <w:rFonts w:ascii="Arial Narrow" w:hAnsi="Arial Narrow"/>
                <w:lang w:val="en-US"/>
              </w:rPr>
            </w:pPr>
            <w:r w:rsidRPr="001908EE">
              <w:rPr>
                <w:rFonts w:ascii="Arial Narrow" w:hAnsi="Arial Narrow"/>
                <w:lang w:val="en-US"/>
              </w:rPr>
              <w:t>317</w:t>
            </w:r>
          </w:p>
        </w:tc>
        <w:tc>
          <w:tcPr>
            <w:tcW w:w="919" w:type="dxa"/>
            <w:shd w:val="clear" w:color="auto" w:fill="CECFEF" w:themeFill="text2" w:themeFillTint="33"/>
            <w:vAlign w:val="center"/>
          </w:tcPr>
          <w:p w14:paraId="0158E6BE" w14:textId="77777777" w:rsidR="006B071A" w:rsidRPr="001908EE" w:rsidRDefault="006B071A" w:rsidP="003316F8">
            <w:pPr>
              <w:jc w:val="center"/>
              <w:rPr>
                <w:rFonts w:ascii="Arial Narrow" w:hAnsi="Arial Narrow"/>
                <w:lang w:val="en-US"/>
              </w:rPr>
            </w:pPr>
            <w:r w:rsidRPr="001908EE">
              <w:rPr>
                <w:rFonts w:ascii="Arial Narrow" w:hAnsi="Arial Narrow"/>
                <w:lang w:val="en-US"/>
              </w:rPr>
              <w:t>82.2%***</w:t>
            </w:r>
          </w:p>
        </w:tc>
        <w:tc>
          <w:tcPr>
            <w:tcW w:w="1084" w:type="dxa"/>
            <w:vAlign w:val="center"/>
          </w:tcPr>
          <w:p w14:paraId="4A98B82D" w14:textId="77777777" w:rsidR="006B071A" w:rsidRPr="001908EE" w:rsidRDefault="006B071A" w:rsidP="003316F8">
            <w:pPr>
              <w:jc w:val="center"/>
              <w:rPr>
                <w:rFonts w:ascii="Arial Narrow" w:hAnsi="Arial Narrow"/>
                <w:lang w:val="en-US"/>
              </w:rPr>
            </w:pPr>
            <w:r w:rsidRPr="001908EE">
              <w:rPr>
                <w:rFonts w:ascii="Arial Narrow" w:hAnsi="Arial Narrow"/>
                <w:lang w:val="en-US"/>
              </w:rPr>
              <w:t>158.5</w:t>
            </w:r>
          </w:p>
        </w:tc>
        <w:tc>
          <w:tcPr>
            <w:tcW w:w="1017" w:type="dxa"/>
            <w:shd w:val="clear" w:color="auto" w:fill="CECFEF" w:themeFill="text2" w:themeFillTint="33"/>
            <w:vAlign w:val="center"/>
          </w:tcPr>
          <w:p w14:paraId="5FDE762E" w14:textId="77777777" w:rsidR="006B071A" w:rsidRPr="001908EE" w:rsidRDefault="006B071A" w:rsidP="003316F8">
            <w:pPr>
              <w:jc w:val="center"/>
              <w:rPr>
                <w:rFonts w:ascii="Arial Narrow" w:hAnsi="Arial Narrow"/>
                <w:lang w:val="en-US"/>
              </w:rPr>
            </w:pPr>
            <w:r w:rsidRPr="001908EE">
              <w:rPr>
                <w:rFonts w:ascii="Arial Narrow" w:hAnsi="Arial Narrow"/>
                <w:lang w:val="en-US"/>
              </w:rPr>
              <w:t>99.4%*</w:t>
            </w:r>
          </w:p>
        </w:tc>
        <w:tc>
          <w:tcPr>
            <w:tcW w:w="973" w:type="dxa"/>
            <w:gridSpan w:val="2"/>
            <w:vAlign w:val="center"/>
          </w:tcPr>
          <w:p w14:paraId="7468B439" w14:textId="77777777" w:rsidR="006B071A" w:rsidRPr="001908EE" w:rsidRDefault="006B071A" w:rsidP="003316F8">
            <w:pPr>
              <w:jc w:val="center"/>
              <w:rPr>
                <w:rFonts w:ascii="Arial Narrow" w:hAnsi="Arial Narrow"/>
                <w:lang w:val="en-US"/>
              </w:rPr>
            </w:pPr>
            <w:r w:rsidRPr="001908EE">
              <w:rPr>
                <w:rFonts w:ascii="Arial Narrow" w:hAnsi="Arial Narrow"/>
                <w:lang w:val="en-US"/>
              </w:rPr>
              <w:t>304</w:t>
            </w:r>
          </w:p>
        </w:tc>
        <w:tc>
          <w:tcPr>
            <w:tcW w:w="1231" w:type="dxa"/>
            <w:vAlign w:val="center"/>
          </w:tcPr>
          <w:p w14:paraId="6FD6F606" w14:textId="77777777" w:rsidR="006B071A" w:rsidRPr="001908EE" w:rsidRDefault="006B071A" w:rsidP="003316F8">
            <w:pPr>
              <w:jc w:val="center"/>
              <w:rPr>
                <w:rFonts w:ascii="Arial Narrow" w:hAnsi="Arial Narrow"/>
                <w:lang w:val="en-US"/>
              </w:rPr>
            </w:pPr>
            <w:r w:rsidRPr="001908EE">
              <w:rPr>
                <w:rFonts w:ascii="Arial Narrow" w:hAnsi="Arial Narrow"/>
                <w:lang w:val="en-US"/>
              </w:rPr>
              <w:t>406</w:t>
            </w:r>
          </w:p>
        </w:tc>
        <w:tc>
          <w:tcPr>
            <w:tcW w:w="919" w:type="dxa"/>
            <w:shd w:val="clear" w:color="auto" w:fill="DAEDF4" w:themeFill="accent2" w:themeFillTint="33"/>
            <w:vAlign w:val="center"/>
          </w:tcPr>
          <w:p w14:paraId="24A9462F" w14:textId="77777777" w:rsidR="006B071A" w:rsidRPr="001908EE" w:rsidRDefault="006B071A" w:rsidP="003316F8">
            <w:pPr>
              <w:jc w:val="center"/>
              <w:rPr>
                <w:rFonts w:ascii="Arial Narrow" w:hAnsi="Arial Narrow"/>
                <w:lang w:val="en-US"/>
              </w:rPr>
            </w:pPr>
            <w:r w:rsidRPr="001908EE">
              <w:rPr>
                <w:rFonts w:ascii="Arial Narrow" w:hAnsi="Arial Narrow"/>
                <w:lang w:val="en-US"/>
              </w:rPr>
              <w:t>66.5%***</w:t>
            </w:r>
          </w:p>
        </w:tc>
        <w:tc>
          <w:tcPr>
            <w:tcW w:w="1084" w:type="dxa"/>
            <w:vAlign w:val="center"/>
          </w:tcPr>
          <w:p w14:paraId="0CF6323F" w14:textId="77777777" w:rsidR="006B071A" w:rsidRPr="001908EE" w:rsidRDefault="006B071A" w:rsidP="003316F8">
            <w:pPr>
              <w:jc w:val="center"/>
              <w:rPr>
                <w:rFonts w:ascii="Arial Narrow" w:hAnsi="Arial Narrow"/>
                <w:lang w:val="en-US"/>
              </w:rPr>
            </w:pPr>
            <w:r w:rsidRPr="001908EE">
              <w:rPr>
                <w:rFonts w:ascii="Arial Narrow" w:hAnsi="Arial Narrow"/>
                <w:lang w:val="en-US"/>
              </w:rPr>
              <w:t>203</w:t>
            </w:r>
          </w:p>
        </w:tc>
        <w:tc>
          <w:tcPr>
            <w:tcW w:w="919" w:type="dxa"/>
            <w:shd w:val="clear" w:color="auto" w:fill="DAEDF4" w:themeFill="accent2" w:themeFillTint="33"/>
            <w:vAlign w:val="center"/>
          </w:tcPr>
          <w:p w14:paraId="5BF26510" w14:textId="77777777" w:rsidR="006B071A" w:rsidRPr="001908EE" w:rsidRDefault="006B071A" w:rsidP="003316F8">
            <w:pPr>
              <w:jc w:val="center"/>
              <w:rPr>
                <w:rFonts w:ascii="Arial Narrow" w:hAnsi="Arial Narrow"/>
                <w:lang w:val="en-US"/>
              </w:rPr>
            </w:pPr>
            <w:r w:rsidRPr="001908EE">
              <w:rPr>
                <w:rFonts w:ascii="Arial Narrow" w:hAnsi="Arial Narrow"/>
                <w:lang w:val="en-US"/>
              </w:rPr>
              <w:t>78.1%*</w:t>
            </w:r>
          </w:p>
        </w:tc>
      </w:tr>
      <w:tr w:rsidR="003521D1" w:rsidRPr="001908EE" w14:paraId="5AFA4523" w14:textId="77777777" w:rsidTr="00C17167">
        <w:tc>
          <w:tcPr>
            <w:tcW w:w="1008" w:type="dxa"/>
          </w:tcPr>
          <w:p w14:paraId="38A911C4" w14:textId="77777777" w:rsidR="006B071A" w:rsidRPr="001908EE" w:rsidRDefault="006B071A" w:rsidP="003316F8">
            <w:pPr>
              <w:rPr>
                <w:rFonts w:ascii="Arial Narrow" w:hAnsi="Arial Narrow"/>
                <w:b/>
                <w:lang w:val="en-US"/>
              </w:rPr>
            </w:pPr>
            <w:r w:rsidRPr="001908EE">
              <w:rPr>
                <w:rFonts w:ascii="Arial Narrow" w:hAnsi="Arial Narrow"/>
                <w:b/>
                <w:lang w:val="en-US"/>
              </w:rPr>
              <w:t>All Subjects</w:t>
            </w:r>
          </w:p>
        </w:tc>
        <w:tc>
          <w:tcPr>
            <w:tcW w:w="967" w:type="dxa"/>
            <w:vAlign w:val="center"/>
          </w:tcPr>
          <w:p w14:paraId="491B58DB"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981</w:t>
            </w:r>
          </w:p>
        </w:tc>
        <w:tc>
          <w:tcPr>
            <w:tcW w:w="1231" w:type="dxa"/>
            <w:vAlign w:val="center"/>
          </w:tcPr>
          <w:p w14:paraId="392C9C6E"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1,029</w:t>
            </w:r>
          </w:p>
        </w:tc>
        <w:tc>
          <w:tcPr>
            <w:tcW w:w="919" w:type="dxa"/>
            <w:shd w:val="clear" w:color="auto" w:fill="CECFEF" w:themeFill="text2" w:themeFillTint="33"/>
            <w:vAlign w:val="center"/>
          </w:tcPr>
          <w:p w14:paraId="7F79FDC0"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80.0%***</w:t>
            </w:r>
          </w:p>
        </w:tc>
        <w:tc>
          <w:tcPr>
            <w:tcW w:w="1084" w:type="dxa"/>
            <w:vAlign w:val="center"/>
          </w:tcPr>
          <w:p w14:paraId="0608AE22"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514.5</w:t>
            </w:r>
          </w:p>
        </w:tc>
        <w:tc>
          <w:tcPr>
            <w:tcW w:w="1017" w:type="dxa"/>
            <w:shd w:val="clear" w:color="auto" w:fill="CECFEF" w:themeFill="text2" w:themeFillTint="33"/>
            <w:vAlign w:val="center"/>
          </w:tcPr>
          <w:p w14:paraId="160CF9BD"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99.7%***</w:t>
            </w:r>
          </w:p>
        </w:tc>
        <w:tc>
          <w:tcPr>
            <w:tcW w:w="973" w:type="dxa"/>
            <w:gridSpan w:val="2"/>
            <w:vAlign w:val="center"/>
          </w:tcPr>
          <w:p w14:paraId="0AD581A9"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981</w:t>
            </w:r>
          </w:p>
        </w:tc>
        <w:tc>
          <w:tcPr>
            <w:tcW w:w="1231" w:type="dxa"/>
            <w:vAlign w:val="center"/>
          </w:tcPr>
          <w:p w14:paraId="3BDBD423"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1,279</w:t>
            </w:r>
          </w:p>
        </w:tc>
        <w:tc>
          <w:tcPr>
            <w:tcW w:w="919" w:type="dxa"/>
            <w:shd w:val="clear" w:color="auto" w:fill="DAEDF4" w:themeFill="accent2" w:themeFillTint="33"/>
            <w:vAlign w:val="center"/>
          </w:tcPr>
          <w:p w14:paraId="7B660ED7"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64.6%***</w:t>
            </w:r>
          </w:p>
        </w:tc>
        <w:tc>
          <w:tcPr>
            <w:tcW w:w="1084" w:type="dxa"/>
            <w:vAlign w:val="center"/>
          </w:tcPr>
          <w:p w14:paraId="15543CED"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639.5</w:t>
            </w:r>
          </w:p>
        </w:tc>
        <w:tc>
          <w:tcPr>
            <w:tcW w:w="919" w:type="dxa"/>
            <w:shd w:val="clear" w:color="auto" w:fill="DAEDF4" w:themeFill="accent2" w:themeFillTint="33"/>
            <w:vAlign w:val="center"/>
          </w:tcPr>
          <w:p w14:paraId="5BB21C73" w14:textId="77777777" w:rsidR="006B071A" w:rsidRPr="001908EE" w:rsidRDefault="006B071A" w:rsidP="003316F8">
            <w:pPr>
              <w:jc w:val="center"/>
              <w:rPr>
                <w:rFonts w:ascii="Arial Narrow" w:hAnsi="Arial Narrow"/>
                <w:b/>
                <w:lang w:val="en-US"/>
              </w:rPr>
            </w:pPr>
            <w:r w:rsidRPr="001908EE">
              <w:rPr>
                <w:rFonts w:ascii="Arial Narrow" w:hAnsi="Arial Narrow"/>
                <w:b/>
                <w:lang w:val="en-US"/>
              </w:rPr>
              <w:t>73.5%***</w:t>
            </w:r>
          </w:p>
        </w:tc>
      </w:tr>
    </w:tbl>
    <w:p w14:paraId="4E3B35FE" w14:textId="77777777" w:rsidR="006B071A" w:rsidRPr="00C17167" w:rsidRDefault="006B071A" w:rsidP="006B071A">
      <w:pPr>
        <w:rPr>
          <w:rFonts w:ascii="Arial Narrow" w:hAnsi="Arial Narrow"/>
          <w:i/>
          <w:lang w:val="en-US"/>
        </w:rPr>
      </w:pPr>
      <w:r w:rsidRPr="00C17167">
        <w:rPr>
          <w:rFonts w:ascii="Arial Narrow" w:hAnsi="Arial Narrow"/>
          <w:i/>
          <w:lang w:val="en-US"/>
        </w:rPr>
        <w:t>*p&lt;0.05; **p&lt;0.01; ***p&lt;0.001</w:t>
      </w:r>
    </w:p>
    <w:p w14:paraId="509328CA" w14:textId="77777777" w:rsidR="006B071A" w:rsidRPr="00C17167" w:rsidRDefault="006B071A" w:rsidP="006B071A">
      <w:pPr>
        <w:rPr>
          <w:i/>
          <w:lang w:val="en-US"/>
        </w:rPr>
      </w:pPr>
      <w:r w:rsidRPr="00C17167">
        <w:rPr>
          <w:i/>
          <w:lang w:val="en-US"/>
        </w:rPr>
        <w:t>Note: Students earned 0.5 credits for a semester-long course and one credit for a year-long course.</w:t>
      </w:r>
    </w:p>
    <w:p w14:paraId="3890AD38" w14:textId="77777777" w:rsidR="00A606EC" w:rsidRPr="001908EE" w:rsidRDefault="00BC1529" w:rsidP="00496EC8">
      <w:pPr>
        <w:pStyle w:val="Heading2"/>
        <w:rPr>
          <w:lang w:val="en-US"/>
        </w:rPr>
      </w:pPr>
      <w:bookmarkStart w:id="16" w:name="_Toc19177050"/>
      <w:r w:rsidRPr="001908EE">
        <w:rPr>
          <w:rStyle w:val="Hyperlink"/>
          <w:color w:val="2E7E9D" w:themeColor="accent2" w:themeShade="BF"/>
          <w:lang w:val="en-US"/>
        </w:rPr>
        <w:t>Dearborn Public Schools</w:t>
      </w:r>
      <w:r w:rsidR="00AC699F" w:rsidRPr="001908EE">
        <w:rPr>
          <w:lang w:val="en-US"/>
        </w:rPr>
        <w:t>, Michigan (Level 4)</w:t>
      </w:r>
      <w:bookmarkEnd w:id="16"/>
    </w:p>
    <w:p w14:paraId="2151FD09" w14:textId="77777777" w:rsidR="00A606EC" w:rsidRPr="001908EE" w:rsidRDefault="0075618E" w:rsidP="0075618E">
      <w:pPr>
        <w:rPr>
          <w:lang w:val="en-US"/>
        </w:rPr>
      </w:pPr>
      <w:r w:rsidRPr="001908EE">
        <w:rPr>
          <w:lang w:val="en-US"/>
        </w:rPr>
        <w:t xml:space="preserve">In fall </w:t>
      </w:r>
      <w:r w:rsidR="00DD4059" w:rsidRPr="001908EE">
        <w:rPr>
          <w:lang w:val="en-US"/>
        </w:rPr>
        <w:t xml:space="preserve">2009 </w:t>
      </w:r>
      <w:r w:rsidR="00BC1529" w:rsidRPr="001908EE">
        <w:rPr>
          <w:lang w:val="en-US"/>
        </w:rPr>
        <w:t xml:space="preserve">Dearborn Magnet High School </w:t>
      </w:r>
      <w:r w:rsidRPr="001908EE">
        <w:rPr>
          <w:lang w:val="en-US"/>
        </w:rPr>
        <w:t>began using Edgenuity with some of it</w:t>
      </w:r>
      <w:r w:rsidR="00195077" w:rsidRPr="001908EE">
        <w:rPr>
          <w:lang w:val="en-US"/>
        </w:rPr>
        <w:t xml:space="preserve">s </w:t>
      </w:r>
      <w:r w:rsidR="00D26AA1" w:rsidRPr="001908EE">
        <w:rPr>
          <w:lang w:val="en-US"/>
        </w:rPr>
        <w:t>most challenged</w:t>
      </w:r>
      <w:r w:rsidR="00195077" w:rsidRPr="001908EE">
        <w:rPr>
          <w:lang w:val="en-US"/>
        </w:rPr>
        <w:t>,</w:t>
      </w:r>
      <w:r w:rsidR="00D26AA1" w:rsidRPr="001908EE">
        <w:rPr>
          <w:lang w:val="en-US"/>
        </w:rPr>
        <w:t xml:space="preserve"> </w:t>
      </w:r>
      <w:r w:rsidRPr="001908EE">
        <w:rPr>
          <w:lang w:val="en-US"/>
        </w:rPr>
        <w:t>at-risk students</w:t>
      </w:r>
      <w:r w:rsidR="00D26AA1" w:rsidRPr="001908EE">
        <w:rPr>
          <w:lang w:val="en-US"/>
        </w:rPr>
        <w:t xml:space="preserve">. </w:t>
      </w:r>
      <w:r w:rsidRPr="001908EE">
        <w:rPr>
          <w:lang w:val="en-US"/>
        </w:rPr>
        <w:t>Data showed that four years since the implementation of Edgenuity, graduation rates for the students served by the school have nearly quadrupled: 21 percent in 2009 to 80 percent in 2014.</w:t>
      </w:r>
    </w:p>
    <w:p w14:paraId="616504E1" w14:textId="77777777" w:rsidR="00A606EC" w:rsidRPr="001908EE" w:rsidRDefault="00A606EC" w:rsidP="00BB6B0C">
      <w:pPr>
        <w:rPr>
          <w:lang w:val="en-US"/>
        </w:rPr>
      </w:pPr>
    </w:p>
    <w:p w14:paraId="7B7917EE" w14:textId="77777777" w:rsidR="00A606EC" w:rsidRPr="001908EE" w:rsidRDefault="00BC1529" w:rsidP="00BB6B0C">
      <w:pPr>
        <w:rPr>
          <w:lang w:val="en-US"/>
        </w:rPr>
      </w:pPr>
      <w:r w:rsidRPr="001908EE">
        <w:rPr>
          <w:b/>
          <w:lang w:val="en-US"/>
        </w:rPr>
        <w:t xml:space="preserve">Figure </w:t>
      </w:r>
      <w:r w:rsidR="0053778A" w:rsidRPr="001908EE">
        <w:rPr>
          <w:b/>
          <w:lang w:val="en-US"/>
        </w:rPr>
        <w:t>8</w:t>
      </w:r>
      <w:r w:rsidR="003316F8" w:rsidRPr="001908EE">
        <w:rPr>
          <w:b/>
          <w:lang w:val="en-US"/>
        </w:rPr>
        <w:t>.</w:t>
      </w:r>
      <w:r w:rsidRPr="001908EE">
        <w:rPr>
          <w:b/>
          <w:lang w:val="en-US"/>
        </w:rPr>
        <w:t xml:space="preserve"> Dearborn Magnet High School</w:t>
      </w:r>
      <w:r w:rsidRPr="001908EE">
        <w:rPr>
          <w:lang w:val="en-US"/>
        </w:rPr>
        <w:br/>
        <w:t>Five-Year Graduation Rate, 2009 to 2014</w:t>
      </w:r>
    </w:p>
    <w:p w14:paraId="6F9810C0" w14:textId="77777777" w:rsidR="00A606EC" w:rsidRPr="001908EE" w:rsidRDefault="00C76F73" w:rsidP="00BB6B0C">
      <w:pPr>
        <w:rPr>
          <w:lang w:val="en-US"/>
        </w:rPr>
      </w:pPr>
      <w:r w:rsidRPr="001908EE">
        <w:rPr>
          <w:noProof/>
          <w:lang w:val="en-US"/>
        </w:rPr>
        <w:drawing>
          <wp:inline distT="0" distB="0" distL="0" distR="0" wp14:anchorId="7DF0C11A" wp14:editId="182D0306">
            <wp:extent cx="3543300" cy="20193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C7895D" w14:textId="77777777" w:rsidR="00C0663A" w:rsidRPr="001908EE" w:rsidRDefault="00C0663A" w:rsidP="00496EC8">
      <w:pPr>
        <w:pStyle w:val="Heading2"/>
        <w:rPr>
          <w:lang w:val="en-US"/>
        </w:rPr>
      </w:pPr>
      <w:bookmarkStart w:id="17" w:name="_jtbwwbnz0gl2" w:colFirst="0" w:colLast="0"/>
      <w:bookmarkStart w:id="18" w:name="_Toc19177051"/>
      <w:bookmarkEnd w:id="17"/>
      <w:r w:rsidRPr="001908EE">
        <w:rPr>
          <w:rStyle w:val="Hyperlink"/>
          <w:color w:val="2E7E9D" w:themeColor="accent2" w:themeShade="BF"/>
          <w:lang w:val="en-US"/>
        </w:rPr>
        <w:t>Dickinson Independent School District, Texas</w:t>
      </w:r>
      <w:r w:rsidR="007D4D12" w:rsidRPr="001908EE">
        <w:rPr>
          <w:rStyle w:val="Hyperlink"/>
          <w:color w:val="2E7E9D" w:themeColor="accent2" w:themeShade="BF"/>
          <w:lang w:val="en-US"/>
        </w:rPr>
        <w:t xml:space="preserve"> (Level 4)</w:t>
      </w:r>
      <w:bookmarkEnd w:id="18"/>
    </w:p>
    <w:p w14:paraId="7CED991C" w14:textId="53BF95A9" w:rsidR="0037329A" w:rsidRPr="001908EE" w:rsidRDefault="0037329A" w:rsidP="0037329A">
      <w:pPr>
        <w:rPr>
          <w:rFonts w:eastAsia="Times New Roman"/>
          <w:lang w:val="en-US"/>
        </w:rPr>
      </w:pPr>
      <w:r w:rsidRPr="001908EE">
        <w:rPr>
          <w:lang w:val="en-US"/>
        </w:rPr>
        <w:t xml:space="preserve">During </w:t>
      </w:r>
      <w:r w:rsidR="00761C76" w:rsidRPr="001908EE">
        <w:rPr>
          <w:lang w:val="en-US"/>
        </w:rPr>
        <w:t>Summer 2017 and Summer 2018</w:t>
      </w:r>
      <w:r w:rsidRPr="001908EE">
        <w:rPr>
          <w:lang w:val="en-US"/>
        </w:rPr>
        <w:t xml:space="preserve">, </w:t>
      </w:r>
      <w:r w:rsidR="00761C76" w:rsidRPr="001908EE">
        <w:rPr>
          <w:lang w:val="en-US"/>
        </w:rPr>
        <w:t>Dickinson Independent School D</w:t>
      </w:r>
      <w:r w:rsidRPr="001908EE">
        <w:rPr>
          <w:lang w:val="en-US"/>
        </w:rPr>
        <w:t xml:space="preserve">istrict offered online Edgenuity </w:t>
      </w:r>
      <w:r w:rsidR="0065318D" w:rsidRPr="001908EE">
        <w:rPr>
          <w:lang w:val="en-US"/>
        </w:rPr>
        <w:t>biology and U.S. history</w:t>
      </w:r>
      <w:r w:rsidRPr="001908EE">
        <w:rPr>
          <w:lang w:val="en-US"/>
        </w:rPr>
        <w:t xml:space="preserve"> courses to a small group of students </w:t>
      </w:r>
      <w:r w:rsidR="00FD4EBE" w:rsidRPr="001908EE">
        <w:rPr>
          <w:lang w:val="en-US"/>
        </w:rPr>
        <w:t xml:space="preserve">for whom the traditional high-school setting was </w:t>
      </w:r>
      <w:r w:rsidR="00FD4EBE" w:rsidRPr="001908EE">
        <w:rPr>
          <w:lang w:val="en-US"/>
        </w:rPr>
        <w:lastRenderedPageBreak/>
        <w:t xml:space="preserve">not working. </w:t>
      </w:r>
      <w:r w:rsidRPr="001908EE">
        <w:rPr>
          <w:lang w:val="en-US"/>
        </w:rPr>
        <w:t>Results showed that students who used Edgenuity courses</w:t>
      </w:r>
      <w:r w:rsidRPr="001908EE">
        <w:rPr>
          <w:rFonts w:eastAsia="Times New Roman"/>
          <w:lang w:val="en-US"/>
        </w:rPr>
        <w:t xml:space="preserve"> demonstrated significant growth on the </w:t>
      </w:r>
      <w:r w:rsidR="0065318D" w:rsidRPr="001908EE">
        <w:rPr>
          <w:rFonts w:eastAsia="Times New Roman"/>
          <w:lang w:val="en-US"/>
        </w:rPr>
        <w:t>b</w:t>
      </w:r>
      <w:r w:rsidRPr="001908EE">
        <w:rPr>
          <w:rFonts w:eastAsia="Times New Roman"/>
          <w:lang w:val="en-US"/>
        </w:rPr>
        <w:t xml:space="preserve">iology STAAR EOC assessments from </w:t>
      </w:r>
      <w:r w:rsidR="008819BB" w:rsidRPr="001908EE">
        <w:rPr>
          <w:rFonts w:eastAsia="Times New Roman"/>
          <w:lang w:val="en-US"/>
        </w:rPr>
        <w:t xml:space="preserve">their </w:t>
      </w:r>
      <w:r w:rsidRPr="001908EE">
        <w:rPr>
          <w:rFonts w:eastAsia="Times New Roman"/>
          <w:lang w:val="en-US"/>
        </w:rPr>
        <w:t>first attempt to most recent attempt.</w:t>
      </w:r>
    </w:p>
    <w:p w14:paraId="4217CFB1" w14:textId="77777777" w:rsidR="008819BB" w:rsidRPr="001908EE" w:rsidRDefault="008819BB" w:rsidP="0037329A">
      <w:pPr>
        <w:rPr>
          <w:lang w:val="en-US"/>
        </w:rPr>
      </w:pPr>
    </w:p>
    <w:p w14:paraId="26879158" w14:textId="77777777" w:rsidR="00761C76" w:rsidRPr="001908EE" w:rsidRDefault="00761C76" w:rsidP="0037329A">
      <w:pPr>
        <w:rPr>
          <w:b/>
          <w:lang w:val="en-US"/>
        </w:rPr>
      </w:pPr>
      <w:r w:rsidRPr="001908EE">
        <w:rPr>
          <w:b/>
          <w:lang w:val="en-US"/>
        </w:rPr>
        <w:t xml:space="preserve">Figure </w:t>
      </w:r>
      <w:r w:rsidR="00EA3EBA" w:rsidRPr="001908EE">
        <w:rPr>
          <w:b/>
          <w:lang w:val="en-US"/>
        </w:rPr>
        <w:t>9</w:t>
      </w:r>
      <w:r w:rsidRPr="001908EE">
        <w:rPr>
          <w:b/>
          <w:lang w:val="en-US"/>
        </w:rPr>
        <w:t>: Dickinson Independent School District, Texas</w:t>
      </w:r>
    </w:p>
    <w:p w14:paraId="39DFA0DB" w14:textId="23981365" w:rsidR="0037329A" w:rsidRPr="001908EE" w:rsidRDefault="00761C76" w:rsidP="00C0663A">
      <w:pPr>
        <w:rPr>
          <w:lang w:val="en-US"/>
        </w:rPr>
      </w:pPr>
      <w:r w:rsidRPr="001908EE">
        <w:rPr>
          <w:lang w:val="en-US"/>
        </w:rPr>
        <w:t xml:space="preserve">Performance on the </w:t>
      </w:r>
      <w:r w:rsidR="00C17167">
        <w:rPr>
          <w:lang w:val="en-US"/>
        </w:rPr>
        <w:t xml:space="preserve">US History and </w:t>
      </w:r>
      <w:r w:rsidR="0065318D" w:rsidRPr="001908EE">
        <w:rPr>
          <w:lang w:val="en-US"/>
        </w:rPr>
        <w:t xml:space="preserve">Biology </w:t>
      </w:r>
      <w:r w:rsidRPr="001908EE">
        <w:rPr>
          <w:lang w:val="en-US"/>
        </w:rPr>
        <w:t>STAAR EOC Tests</w:t>
      </w:r>
    </w:p>
    <w:p w14:paraId="532ABAC3" w14:textId="77777777" w:rsidR="0037329A" w:rsidRPr="001908EE" w:rsidRDefault="0037329A" w:rsidP="00C0663A">
      <w:pPr>
        <w:rPr>
          <w:lang w:val="en-US"/>
        </w:rPr>
      </w:pPr>
      <w:r w:rsidRPr="001908EE">
        <w:rPr>
          <w:noProof/>
          <w:lang w:val="en-US"/>
        </w:rPr>
        <w:drawing>
          <wp:inline distT="0" distB="0" distL="0" distR="0" wp14:anchorId="11D9CB55" wp14:editId="6B5A40A9">
            <wp:extent cx="6858000" cy="14389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1438910"/>
                    </a:xfrm>
                    <a:prstGeom prst="rect">
                      <a:avLst/>
                    </a:prstGeom>
                  </pic:spPr>
                </pic:pic>
              </a:graphicData>
            </a:graphic>
          </wp:inline>
        </w:drawing>
      </w:r>
    </w:p>
    <w:p w14:paraId="294BB670" w14:textId="77777777" w:rsidR="008819BB" w:rsidRPr="001908EE" w:rsidRDefault="008819BB" w:rsidP="00496EC8">
      <w:pPr>
        <w:pStyle w:val="Heading2"/>
        <w:rPr>
          <w:lang w:val="en-US"/>
        </w:rPr>
      </w:pPr>
      <w:bookmarkStart w:id="19" w:name="_Toc19177052"/>
      <w:r w:rsidRPr="001908EE">
        <w:rPr>
          <w:rStyle w:val="Hyperlink"/>
          <w:color w:val="2E7E9D" w:themeColor="accent2" w:themeShade="BF"/>
          <w:lang w:val="en-US"/>
        </w:rPr>
        <w:t xml:space="preserve">Graduation Solutions, </w:t>
      </w:r>
      <w:r w:rsidR="00044C34" w:rsidRPr="001908EE">
        <w:rPr>
          <w:rStyle w:val="Hyperlink"/>
          <w:color w:val="2E7E9D" w:themeColor="accent2" w:themeShade="BF"/>
          <w:lang w:val="en-US"/>
        </w:rPr>
        <w:t xml:space="preserve">LLC, </w:t>
      </w:r>
      <w:r w:rsidRPr="001908EE">
        <w:rPr>
          <w:rStyle w:val="Hyperlink"/>
          <w:color w:val="2E7E9D" w:themeColor="accent2" w:themeShade="BF"/>
          <w:lang w:val="en-US"/>
        </w:rPr>
        <w:t>Arizona</w:t>
      </w:r>
      <w:r w:rsidR="00EA3EBA" w:rsidRPr="001908EE">
        <w:rPr>
          <w:rStyle w:val="Hyperlink"/>
          <w:color w:val="2E7E9D" w:themeColor="accent2" w:themeShade="BF"/>
          <w:lang w:val="en-US"/>
        </w:rPr>
        <w:t xml:space="preserve"> (Level 3)</w:t>
      </w:r>
      <w:bookmarkEnd w:id="19"/>
    </w:p>
    <w:p w14:paraId="58A2BA3B" w14:textId="77777777" w:rsidR="00C0540F" w:rsidRPr="001908EE" w:rsidRDefault="00C0540F" w:rsidP="008819BB">
      <w:pPr>
        <w:rPr>
          <w:lang w:val="en-US"/>
        </w:rPr>
      </w:pPr>
      <w:r w:rsidRPr="001908EE">
        <w:rPr>
          <w:lang w:val="en-US"/>
        </w:rPr>
        <w:t xml:space="preserve">Graduation Solutions, LLC, is an online dropout recovery program that enrolls about 1,800 students across the state of Arizona. Open to students ages 16 to 21, the program is designed to offer students who have been disengaged from high school for at least 30 days a chance to earn a diploma. The school uses Edgenuity online courseware for its entire curriculum delivery system. </w:t>
      </w:r>
    </w:p>
    <w:p w14:paraId="75CF5793" w14:textId="77777777" w:rsidR="00C0540F" w:rsidRPr="001908EE" w:rsidRDefault="00C0540F" w:rsidP="008819BB">
      <w:pPr>
        <w:rPr>
          <w:b/>
          <w:lang w:val="en-US"/>
        </w:rPr>
      </w:pPr>
    </w:p>
    <w:p w14:paraId="2E5FA30E" w14:textId="77777777" w:rsidR="00AD01F1" w:rsidRPr="001908EE" w:rsidRDefault="00AD01F1" w:rsidP="00AD01F1">
      <w:pPr>
        <w:rPr>
          <w:lang w:val="en-US"/>
        </w:rPr>
      </w:pPr>
      <w:r w:rsidRPr="001908EE">
        <w:rPr>
          <w:lang w:val="en-US"/>
        </w:rPr>
        <w:t xml:space="preserve">Data from 2017 to 2018 show that Edgenuity Courseware is having a positive influence on student graduation rates. For example, every additional Edgenuity mathematics and reading course taken increased the odds of a student graduating by more than 1.12. </w:t>
      </w:r>
    </w:p>
    <w:p w14:paraId="25FF2548" w14:textId="77777777" w:rsidR="00AD01F1" w:rsidRPr="001908EE" w:rsidRDefault="00AD01F1" w:rsidP="00AD01F1">
      <w:pPr>
        <w:rPr>
          <w:lang w:val="en-US"/>
        </w:rPr>
      </w:pPr>
    </w:p>
    <w:p w14:paraId="484602CA" w14:textId="77777777" w:rsidR="00AD01F1" w:rsidRPr="001908EE" w:rsidRDefault="00AD01F1" w:rsidP="00AD01F1">
      <w:pPr>
        <w:rPr>
          <w:lang w:val="en-US"/>
        </w:rPr>
      </w:pPr>
      <w:r w:rsidRPr="001908EE">
        <w:rPr>
          <w:lang w:val="en-US"/>
        </w:rPr>
        <w:t xml:space="preserve">Data also show a strong relationship between Edgenuity Courseware and the </w:t>
      </w:r>
      <w:proofErr w:type="spellStart"/>
      <w:r w:rsidRPr="001908EE">
        <w:rPr>
          <w:lang w:val="en-US"/>
        </w:rPr>
        <w:t>AzMERIT</w:t>
      </w:r>
      <w:proofErr w:type="spellEnd"/>
      <w:r w:rsidRPr="001908EE">
        <w:rPr>
          <w:lang w:val="en-US"/>
        </w:rPr>
        <w:t xml:space="preserve"> state test.</w:t>
      </w:r>
    </w:p>
    <w:p w14:paraId="40E5CBBC" w14:textId="77777777" w:rsidR="00AD01F1" w:rsidRPr="001908EE" w:rsidRDefault="00AD01F1" w:rsidP="00AD01F1">
      <w:pPr>
        <w:pStyle w:val="ListParagraph"/>
        <w:numPr>
          <w:ilvl w:val="0"/>
          <w:numId w:val="3"/>
        </w:numPr>
        <w:spacing w:after="160" w:line="256" w:lineRule="auto"/>
        <w:ind w:right="-360" w:hanging="180"/>
        <w:rPr>
          <w:lang w:val="en-US"/>
        </w:rPr>
      </w:pPr>
      <w:r w:rsidRPr="001908EE">
        <w:rPr>
          <w:lang w:val="en-US"/>
        </w:rPr>
        <w:t xml:space="preserve">For every additional hour spent in Courseware, there was a </w:t>
      </w:r>
      <w:r w:rsidRPr="00C17167">
        <w:rPr>
          <w:lang w:val="en-US"/>
        </w:rPr>
        <w:t>0.66</w:t>
      </w:r>
      <w:r w:rsidRPr="001908EE">
        <w:rPr>
          <w:lang w:val="en-US"/>
        </w:rPr>
        <w:t xml:space="preserve">-point increase in </w:t>
      </w:r>
      <w:proofErr w:type="spellStart"/>
      <w:r w:rsidRPr="001908EE">
        <w:rPr>
          <w:lang w:val="en-US"/>
        </w:rPr>
        <w:t>AzMERIT</w:t>
      </w:r>
      <w:proofErr w:type="spellEnd"/>
      <w:r w:rsidRPr="001908EE">
        <w:rPr>
          <w:lang w:val="en-US"/>
        </w:rPr>
        <w:t xml:space="preserve"> </w:t>
      </w:r>
      <w:r w:rsidRPr="00C17167">
        <w:rPr>
          <w:lang w:val="en-US"/>
        </w:rPr>
        <w:t>ELA</w:t>
      </w:r>
      <w:r w:rsidRPr="001908EE">
        <w:rPr>
          <w:lang w:val="en-US"/>
        </w:rPr>
        <w:t xml:space="preserve"> scores.</w:t>
      </w:r>
    </w:p>
    <w:p w14:paraId="4AC5C8A8" w14:textId="77DD5F3D" w:rsidR="00AD01F1" w:rsidRPr="001908EE" w:rsidRDefault="00AD01F1" w:rsidP="00AD01F1">
      <w:pPr>
        <w:pStyle w:val="ListParagraph"/>
        <w:numPr>
          <w:ilvl w:val="0"/>
          <w:numId w:val="3"/>
        </w:numPr>
        <w:spacing w:after="160" w:line="256" w:lineRule="auto"/>
        <w:ind w:right="-360" w:hanging="180"/>
        <w:rPr>
          <w:lang w:val="en-US"/>
        </w:rPr>
      </w:pPr>
      <w:r w:rsidRPr="001908EE">
        <w:rPr>
          <w:lang w:val="en-US"/>
        </w:rPr>
        <w:t>For every additional 1</w:t>
      </w:r>
      <w:r w:rsidR="0065318D" w:rsidRPr="001908EE">
        <w:rPr>
          <w:lang w:val="en-US"/>
        </w:rPr>
        <w:t xml:space="preserve"> percent</w:t>
      </w:r>
      <w:r w:rsidRPr="001908EE">
        <w:rPr>
          <w:lang w:val="en-US"/>
        </w:rPr>
        <w:t xml:space="preserve"> course progress, there was a </w:t>
      </w:r>
      <w:r w:rsidRPr="00C17167">
        <w:rPr>
          <w:lang w:val="en-US"/>
        </w:rPr>
        <w:t>1.37</w:t>
      </w:r>
      <w:r w:rsidRPr="001908EE">
        <w:rPr>
          <w:lang w:val="en-US"/>
        </w:rPr>
        <w:t xml:space="preserve">-point increase in </w:t>
      </w:r>
      <w:proofErr w:type="spellStart"/>
      <w:r w:rsidRPr="001908EE">
        <w:rPr>
          <w:lang w:val="en-US"/>
        </w:rPr>
        <w:t>AzMERIT</w:t>
      </w:r>
      <w:proofErr w:type="spellEnd"/>
      <w:r w:rsidRPr="001908EE">
        <w:rPr>
          <w:lang w:val="en-US"/>
        </w:rPr>
        <w:t xml:space="preserve"> </w:t>
      </w:r>
      <w:r w:rsidRPr="00C17167">
        <w:rPr>
          <w:lang w:val="en-US"/>
        </w:rPr>
        <w:t>Algebra 1</w:t>
      </w:r>
      <w:r w:rsidRPr="001908EE">
        <w:rPr>
          <w:lang w:val="en-US"/>
        </w:rPr>
        <w:t xml:space="preserve"> scores.</w:t>
      </w:r>
    </w:p>
    <w:p w14:paraId="20AFBB50" w14:textId="029BA81E" w:rsidR="00AD01F1" w:rsidRPr="001908EE" w:rsidRDefault="00AD01F1" w:rsidP="00AD01F1">
      <w:pPr>
        <w:pStyle w:val="ListParagraph"/>
        <w:numPr>
          <w:ilvl w:val="0"/>
          <w:numId w:val="3"/>
        </w:numPr>
        <w:spacing w:after="160" w:line="256" w:lineRule="auto"/>
        <w:ind w:right="-360" w:hanging="180"/>
        <w:rPr>
          <w:lang w:val="en-US"/>
        </w:rPr>
      </w:pPr>
      <w:r w:rsidRPr="001908EE">
        <w:rPr>
          <w:lang w:val="en-US"/>
        </w:rPr>
        <w:t>For every additional 1</w:t>
      </w:r>
      <w:r w:rsidR="0065318D" w:rsidRPr="001908EE">
        <w:rPr>
          <w:lang w:val="en-US"/>
        </w:rPr>
        <w:t xml:space="preserve"> percent</w:t>
      </w:r>
      <w:r w:rsidRPr="001908EE">
        <w:rPr>
          <w:lang w:val="en-US"/>
        </w:rPr>
        <w:t xml:space="preserve"> course progress, there was a </w:t>
      </w:r>
      <w:r w:rsidRPr="00C17167">
        <w:rPr>
          <w:lang w:val="en-US"/>
        </w:rPr>
        <w:t>0.56</w:t>
      </w:r>
      <w:r w:rsidRPr="001908EE">
        <w:rPr>
          <w:lang w:val="en-US"/>
        </w:rPr>
        <w:t xml:space="preserve">-point increase in </w:t>
      </w:r>
      <w:proofErr w:type="spellStart"/>
      <w:r w:rsidRPr="001908EE">
        <w:rPr>
          <w:lang w:val="en-US"/>
        </w:rPr>
        <w:t>AzMERIT</w:t>
      </w:r>
      <w:proofErr w:type="spellEnd"/>
      <w:r w:rsidRPr="001908EE">
        <w:rPr>
          <w:lang w:val="en-US"/>
        </w:rPr>
        <w:t xml:space="preserve"> </w:t>
      </w:r>
      <w:r w:rsidRPr="00C17167">
        <w:rPr>
          <w:lang w:val="en-US"/>
        </w:rPr>
        <w:t>Algebra 2</w:t>
      </w:r>
      <w:r w:rsidRPr="001908EE">
        <w:rPr>
          <w:lang w:val="en-US"/>
        </w:rPr>
        <w:t xml:space="preserve"> scores.</w:t>
      </w:r>
    </w:p>
    <w:p w14:paraId="10B19D38" w14:textId="288D2B3E" w:rsidR="00AD01F1" w:rsidRPr="001908EE" w:rsidRDefault="00AD01F1" w:rsidP="00AD01F1">
      <w:pPr>
        <w:pStyle w:val="ListParagraph"/>
        <w:numPr>
          <w:ilvl w:val="0"/>
          <w:numId w:val="3"/>
        </w:numPr>
        <w:spacing w:after="160" w:line="256" w:lineRule="auto"/>
        <w:ind w:right="-360" w:hanging="180"/>
        <w:rPr>
          <w:lang w:val="en-US"/>
        </w:rPr>
      </w:pPr>
      <w:r w:rsidRPr="001908EE">
        <w:rPr>
          <w:lang w:val="en-US"/>
        </w:rPr>
        <w:t>For every additional 1</w:t>
      </w:r>
      <w:r w:rsidR="0065318D" w:rsidRPr="001908EE">
        <w:rPr>
          <w:lang w:val="en-US"/>
        </w:rPr>
        <w:t xml:space="preserve"> percent</w:t>
      </w:r>
      <w:r w:rsidRPr="001908EE">
        <w:rPr>
          <w:lang w:val="en-US"/>
        </w:rPr>
        <w:t xml:space="preserve"> per day course progress, there was a </w:t>
      </w:r>
      <w:r w:rsidRPr="00C17167">
        <w:rPr>
          <w:lang w:val="en-US"/>
        </w:rPr>
        <w:t>7.93</w:t>
      </w:r>
      <w:r w:rsidRPr="001908EE">
        <w:rPr>
          <w:lang w:val="en-US"/>
        </w:rPr>
        <w:t xml:space="preserve">-point increase in </w:t>
      </w:r>
      <w:proofErr w:type="spellStart"/>
      <w:r w:rsidRPr="001908EE">
        <w:rPr>
          <w:lang w:val="en-US"/>
        </w:rPr>
        <w:t>AzMERIT</w:t>
      </w:r>
      <w:proofErr w:type="spellEnd"/>
      <w:r w:rsidRPr="001908EE">
        <w:rPr>
          <w:lang w:val="en-US"/>
        </w:rPr>
        <w:t xml:space="preserve"> </w:t>
      </w:r>
      <w:r w:rsidRPr="00C17167">
        <w:rPr>
          <w:lang w:val="en-US"/>
        </w:rPr>
        <w:t>Geometry</w:t>
      </w:r>
      <w:r w:rsidRPr="001908EE">
        <w:rPr>
          <w:lang w:val="en-US"/>
        </w:rPr>
        <w:t xml:space="preserve"> scores.</w:t>
      </w:r>
    </w:p>
    <w:p w14:paraId="08E926D1" w14:textId="77777777" w:rsidR="00AD01F1" w:rsidRPr="001908EE" w:rsidRDefault="00AD01F1" w:rsidP="00AD01F1">
      <w:pPr>
        <w:rPr>
          <w:lang w:val="en-US"/>
        </w:rPr>
      </w:pPr>
      <w:r w:rsidRPr="001908EE">
        <w:rPr>
          <w:lang w:val="en-US"/>
        </w:rPr>
        <w:t xml:space="preserve">Additionally, 447 students graduated from Graduation Solutions with a high school diploma, setting them up for success in their next step, whether academically or professionally. </w:t>
      </w:r>
    </w:p>
    <w:p w14:paraId="7382DF9D" w14:textId="77777777" w:rsidR="008819BB" w:rsidRPr="001908EE" w:rsidRDefault="008819BB" w:rsidP="008819BB">
      <w:pPr>
        <w:rPr>
          <w:lang w:val="en-US"/>
        </w:rPr>
      </w:pPr>
    </w:p>
    <w:p w14:paraId="7EC97302" w14:textId="77777777" w:rsidR="00BB6B0C" w:rsidRPr="001908EE" w:rsidRDefault="008B1B9E" w:rsidP="00496EC8">
      <w:pPr>
        <w:pStyle w:val="Heading2"/>
        <w:rPr>
          <w:lang w:val="en-US"/>
        </w:rPr>
      </w:pPr>
      <w:hyperlink r:id="rId15" w:history="1">
        <w:bookmarkStart w:id="20" w:name="_Toc19177053"/>
        <w:r w:rsidR="00BC1529" w:rsidRPr="001908EE">
          <w:rPr>
            <w:rStyle w:val="Hyperlink"/>
            <w:color w:val="2E7E9D" w:themeColor="accent2" w:themeShade="BF"/>
            <w:lang w:val="en-US"/>
          </w:rPr>
          <w:t xml:space="preserve">Houston </w:t>
        </w:r>
        <w:r w:rsidR="00B610EE" w:rsidRPr="001908EE">
          <w:rPr>
            <w:rStyle w:val="Hyperlink"/>
            <w:color w:val="2E7E9D" w:themeColor="accent2" w:themeShade="BF"/>
            <w:lang w:val="en-US"/>
          </w:rPr>
          <w:t>Independent School District</w:t>
        </w:r>
      </w:hyperlink>
      <w:r w:rsidR="00381CEC" w:rsidRPr="001908EE">
        <w:rPr>
          <w:rStyle w:val="Hyperlink"/>
          <w:color w:val="2E7E9D" w:themeColor="accent2" w:themeShade="BF"/>
          <w:lang w:val="en-US"/>
        </w:rPr>
        <w:t>, Texas (Level 4)</w:t>
      </w:r>
      <w:bookmarkEnd w:id="20"/>
    </w:p>
    <w:p w14:paraId="114E0000" w14:textId="0A6DC57B" w:rsidR="00A606EC" w:rsidRPr="001908EE" w:rsidRDefault="007058FB" w:rsidP="009B4159">
      <w:pPr>
        <w:rPr>
          <w:lang w:val="en-US"/>
        </w:rPr>
      </w:pPr>
      <w:r w:rsidRPr="001908EE">
        <w:rPr>
          <w:lang w:val="en-US"/>
        </w:rPr>
        <w:t xml:space="preserve">From 2013 to 2016, the Greater Houston Community Foundation and Houston Independent School District (HISD) launched the Learn Engage Advance Persevere (LEAP) program to address the needs of middle school students most at risk of dropping out of school. As part of this program, Edgenuity online courses were offered to overage 6th, 7th, and 8th grade students at Edison and Jackson Middle Schools who needed targeted intervention support. An independent research firm, </w:t>
      </w:r>
      <w:proofErr w:type="spellStart"/>
      <w:r w:rsidRPr="001908EE">
        <w:rPr>
          <w:lang w:val="en-US"/>
        </w:rPr>
        <w:t>Safal</w:t>
      </w:r>
      <w:proofErr w:type="spellEnd"/>
      <w:r w:rsidRPr="001908EE">
        <w:rPr>
          <w:lang w:val="en-US"/>
        </w:rPr>
        <w:t xml:space="preserve"> Partners, studied changes in STAAR </w:t>
      </w:r>
      <w:r w:rsidR="0065318D" w:rsidRPr="001908EE">
        <w:rPr>
          <w:lang w:val="en-US"/>
        </w:rPr>
        <w:t>reading and math</w:t>
      </w:r>
      <w:r w:rsidRPr="001908EE">
        <w:rPr>
          <w:lang w:val="en-US"/>
        </w:rPr>
        <w:t xml:space="preserve"> test scores</w:t>
      </w:r>
      <w:r w:rsidR="009B4159" w:rsidRPr="001908EE">
        <w:rPr>
          <w:lang w:val="en-US"/>
        </w:rPr>
        <w:t xml:space="preserve"> and discipline</w:t>
      </w:r>
      <w:r w:rsidRPr="001908EE">
        <w:rPr>
          <w:lang w:val="en-US"/>
        </w:rPr>
        <w:t xml:space="preserve"> by Edgenuity users during the 2013, 2014, and 2015 school years. When data were collected from students who took the spring STAAR </w:t>
      </w:r>
      <w:r w:rsidR="0065318D" w:rsidRPr="001908EE">
        <w:rPr>
          <w:lang w:val="en-US"/>
        </w:rPr>
        <w:t>reading and m</w:t>
      </w:r>
      <w:r w:rsidRPr="001908EE">
        <w:rPr>
          <w:lang w:val="en-US"/>
        </w:rPr>
        <w:t xml:space="preserve">ath tests in 2014 and 2016, results showed that the percentage of students performing at the Satisfactory Performance Level nearly doubled (from 18 percent to 34 percent). </w:t>
      </w:r>
      <w:r w:rsidR="009B4159" w:rsidRPr="001908EE">
        <w:rPr>
          <w:lang w:val="en-US"/>
        </w:rPr>
        <w:t>Findings also showed that two years of Edgenuity use contributed to improved behavioral outcomes. In 2014, 22 percent of Edgenuity students were suspended for six or more days</w:t>
      </w:r>
      <w:r w:rsidR="0065318D" w:rsidRPr="001908EE">
        <w:rPr>
          <w:lang w:val="en-US"/>
        </w:rPr>
        <w:t>,</w:t>
      </w:r>
      <w:r w:rsidR="00416A36" w:rsidRPr="001908EE">
        <w:rPr>
          <w:lang w:val="en-US"/>
        </w:rPr>
        <w:t xml:space="preserve"> but by 2016, this figure</w:t>
      </w:r>
      <w:r w:rsidR="009B4159" w:rsidRPr="001908EE">
        <w:rPr>
          <w:lang w:val="en-US"/>
        </w:rPr>
        <w:t xml:space="preserve"> dropped to 12 percent.</w:t>
      </w:r>
    </w:p>
    <w:p w14:paraId="0043C1B3" w14:textId="4AC0A0AC" w:rsidR="00A606EC" w:rsidRPr="001908EE" w:rsidRDefault="00EC3773" w:rsidP="00BB6B0C">
      <w:pPr>
        <w:rPr>
          <w:lang w:val="en-US"/>
        </w:rPr>
      </w:pPr>
      <w:r w:rsidRPr="001908EE">
        <w:rPr>
          <w:b/>
          <w:lang w:val="en-US"/>
        </w:rPr>
        <w:lastRenderedPageBreak/>
        <w:t xml:space="preserve">Figure </w:t>
      </w:r>
      <w:r w:rsidR="00CE722C" w:rsidRPr="001908EE">
        <w:rPr>
          <w:b/>
          <w:lang w:val="en-US"/>
        </w:rPr>
        <w:t>10</w:t>
      </w:r>
      <w:r w:rsidR="003316F8" w:rsidRPr="001908EE">
        <w:rPr>
          <w:b/>
          <w:lang w:val="en-US"/>
        </w:rPr>
        <w:t xml:space="preserve">. </w:t>
      </w:r>
      <w:r w:rsidR="00BC1529" w:rsidRPr="001908EE">
        <w:rPr>
          <w:b/>
          <w:lang w:val="en-US"/>
        </w:rPr>
        <w:t>Houston Independent School District Edgenuity Students, Grades 6</w:t>
      </w:r>
      <w:r w:rsidR="0065318D" w:rsidRPr="001908EE">
        <w:rPr>
          <w:b/>
          <w:lang w:val="en-US"/>
        </w:rPr>
        <w:t>–</w:t>
      </w:r>
      <w:r w:rsidR="00BC1529" w:rsidRPr="001908EE">
        <w:rPr>
          <w:b/>
          <w:lang w:val="en-US"/>
        </w:rPr>
        <w:t>8 (N = 250)</w:t>
      </w:r>
      <w:r w:rsidR="00E42F65" w:rsidRPr="001908EE">
        <w:rPr>
          <w:b/>
          <w:lang w:val="en-US"/>
        </w:rPr>
        <w:t xml:space="preserve"> </w:t>
      </w:r>
      <w:r w:rsidR="00BC1529" w:rsidRPr="001908EE">
        <w:rPr>
          <w:b/>
          <w:lang w:val="en-US"/>
        </w:rPr>
        <w:br/>
      </w:r>
      <w:r w:rsidR="00BC1529" w:rsidRPr="001908EE">
        <w:rPr>
          <w:lang w:val="en-US"/>
        </w:rPr>
        <w:t>Percentage of Students Achieving Satisfactory Performance Level on STAAR Reading and Math Tests, 2014 and 2016</w:t>
      </w:r>
    </w:p>
    <w:p w14:paraId="426AA334" w14:textId="77777777" w:rsidR="00A606EC" w:rsidRPr="001908EE" w:rsidRDefault="00410224" w:rsidP="00BB6B0C">
      <w:pPr>
        <w:rPr>
          <w:lang w:val="en-US"/>
        </w:rPr>
      </w:pPr>
      <w:r w:rsidRPr="001908EE">
        <w:rPr>
          <w:noProof/>
          <w:lang w:val="en-US"/>
        </w:rPr>
        <w:drawing>
          <wp:inline distT="0" distB="0" distL="0" distR="0" wp14:anchorId="006F89DC" wp14:editId="52087724">
            <wp:extent cx="54864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Start w:id="21" w:name="_iqjgsjq6fxdu" w:colFirst="0" w:colLast="0"/>
    <w:bookmarkEnd w:id="21"/>
    <w:p w14:paraId="1003DE0F" w14:textId="77777777" w:rsidR="00A606EC" w:rsidRPr="001908EE" w:rsidRDefault="00E42F65" w:rsidP="00496EC8">
      <w:pPr>
        <w:pStyle w:val="Heading2"/>
        <w:rPr>
          <w:lang w:val="en-US"/>
        </w:rPr>
      </w:pPr>
      <w:r w:rsidRPr="001908EE">
        <w:rPr>
          <w:lang w:val="en-US"/>
        </w:rPr>
        <w:fldChar w:fldCharType="begin"/>
      </w:r>
      <w:r w:rsidRPr="001908EE">
        <w:rPr>
          <w:lang w:val="en-US"/>
        </w:rPr>
        <w:instrText xml:space="preserve"> HYPERLINK "https://www.edgenuity.com/Case-Studies/Edgenuity-Locust-Grove-GA-Research-Brief.pdf" </w:instrText>
      </w:r>
      <w:r w:rsidRPr="001908EE">
        <w:rPr>
          <w:lang w:val="en-US"/>
        </w:rPr>
        <w:fldChar w:fldCharType="separate"/>
      </w:r>
      <w:bookmarkStart w:id="22" w:name="_Toc19177054"/>
      <w:r w:rsidR="00BC1529" w:rsidRPr="001908EE">
        <w:rPr>
          <w:rStyle w:val="Hyperlink"/>
          <w:color w:val="2E7E9D" w:themeColor="accent2" w:themeShade="BF"/>
          <w:lang w:val="en-US"/>
        </w:rPr>
        <w:t>Locust Grove Middle School</w:t>
      </w:r>
      <w:r w:rsidRPr="001908EE">
        <w:rPr>
          <w:lang w:val="en-US"/>
        </w:rPr>
        <w:fldChar w:fldCharType="end"/>
      </w:r>
      <w:r w:rsidR="00CE722C" w:rsidRPr="001908EE">
        <w:rPr>
          <w:lang w:val="en-US"/>
        </w:rPr>
        <w:t>, Georgia (Level 3)</w:t>
      </w:r>
      <w:bookmarkEnd w:id="22"/>
    </w:p>
    <w:p w14:paraId="7F6A90FB" w14:textId="000CE308" w:rsidR="00820A27" w:rsidRPr="001908EE" w:rsidRDefault="00416A36" w:rsidP="00BB6B0C">
      <w:pPr>
        <w:rPr>
          <w:lang w:val="en-US"/>
        </w:rPr>
      </w:pPr>
      <w:r w:rsidRPr="001908EE">
        <w:rPr>
          <w:lang w:val="en-US"/>
        </w:rPr>
        <w:t>During the 2013</w:t>
      </w:r>
      <w:r w:rsidR="0065318D" w:rsidRPr="001908EE">
        <w:rPr>
          <w:lang w:val="en-US"/>
        </w:rPr>
        <w:t>–</w:t>
      </w:r>
      <w:r w:rsidRPr="001908EE">
        <w:rPr>
          <w:lang w:val="en-US"/>
        </w:rPr>
        <w:t xml:space="preserve">2014 school year, Locust Grove Middle School was one of six schools in Henry County to pilot </w:t>
      </w:r>
      <w:r w:rsidR="002A7E55" w:rsidRPr="001908EE">
        <w:rPr>
          <w:lang w:val="en-US"/>
        </w:rPr>
        <w:t>C</w:t>
      </w:r>
      <w:r w:rsidRPr="001908EE">
        <w:rPr>
          <w:lang w:val="en-US"/>
        </w:rPr>
        <w:t xml:space="preserve">ourseware as part of its new blended learning initiative. </w:t>
      </w:r>
      <w:r w:rsidR="00BC1529" w:rsidRPr="001908EE">
        <w:rPr>
          <w:lang w:val="en-US"/>
        </w:rPr>
        <w:t>2014 Criterion-Referenced Competency</w:t>
      </w:r>
      <w:r w:rsidR="00F367B7" w:rsidRPr="001908EE">
        <w:rPr>
          <w:lang w:val="en-US"/>
        </w:rPr>
        <w:t xml:space="preserve"> Tests</w:t>
      </w:r>
      <w:r w:rsidR="00BC1529" w:rsidRPr="001908EE">
        <w:rPr>
          <w:lang w:val="en-US"/>
        </w:rPr>
        <w:t xml:space="preserve"> </w:t>
      </w:r>
      <w:r w:rsidR="00F367B7" w:rsidRPr="001908EE">
        <w:rPr>
          <w:lang w:val="en-US"/>
        </w:rPr>
        <w:t xml:space="preserve">(CRCT) </w:t>
      </w:r>
      <w:r w:rsidR="002A7E55" w:rsidRPr="001908EE">
        <w:rPr>
          <w:lang w:val="en-US"/>
        </w:rPr>
        <w:t xml:space="preserve">in </w:t>
      </w:r>
      <w:r w:rsidR="00BC1529" w:rsidRPr="001908EE">
        <w:rPr>
          <w:lang w:val="en-US"/>
        </w:rPr>
        <w:t xml:space="preserve">English language arts, mathematics, reading, social studies, and science data were obtained from 94 </w:t>
      </w:r>
      <w:r w:rsidR="00266710" w:rsidRPr="001908EE">
        <w:rPr>
          <w:lang w:val="en-US"/>
        </w:rPr>
        <w:t>7</w:t>
      </w:r>
      <w:r w:rsidR="00266710" w:rsidRPr="00C17167">
        <w:rPr>
          <w:lang w:val="en-US"/>
        </w:rPr>
        <w:t>th</w:t>
      </w:r>
      <w:r w:rsidR="002A7E55" w:rsidRPr="001908EE">
        <w:rPr>
          <w:lang w:val="en-US"/>
        </w:rPr>
        <w:t xml:space="preserve"> </w:t>
      </w:r>
      <w:r w:rsidR="00266710" w:rsidRPr="001908EE">
        <w:rPr>
          <w:lang w:val="en-US"/>
        </w:rPr>
        <w:t xml:space="preserve">grade </w:t>
      </w:r>
      <w:r w:rsidR="00BC1529" w:rsidRPr="001908EE">
        <w:rPr>
          <w:lang w:val="en-US"/>
        </w:rPr>
        <w:t>students who used Edgenuity Courseware and a matched comparison group of 195 7</w:t>
      </w:r>
      <w:r w:rsidR="00BC1529" w:rsidRPr="00C17167">
        <w:rPr>
          <w:lang w:val="en-US"/>
        </w:rPr>
        <w:t>th</w:t>
      </w:r>
      <w:r w:rsidR="002A7E55" w:rsidRPr="001908EE">
        <w:rPr>
          <w:lang w:val="en-US"/>
        </w:rPr>
        <w:t xml:space="preserve"> </w:t>
      </w:r>
      <w:r w:rsidR="00BC1529" w:rsidRPr="001908EE">
        <w:rPr>
          <w:lang w:val="en-US"/>
        </w:rPr>
        <w:t xml:space="preserve">grade students who did not use the program. After one year, Edgenuity online participants </w:t>
      </w:r>
      <w:r w:rsidR="00410224" w:rsidRPr="001908EE">
        <w:rPr>
          <w:lang w:val="en-US"/>
        </w:rPr>
        <w:t>demonstrated</w:t>
      </w:r>
      <w:r w:rsidR="00266710" w:rsidRPr="001908EE">
        <w:rPr>
          <w:lang w:val="en-US"/>
        </w:rPr>
        <w:t xml:space="preserve"> </w:t>
      </w:r>
      <w:r w:rsidR="00BC1529" w:rsidRPr="001908EE">
        <w:rPr>
          <w:lang w:val="en-US"/>
        </w:rPr>
        <w:t>significantly higher scores</w:t>
      </w:r>
      <w:r w:rsidR="00C86557" w:rsidRPr="001908EE">
        <w:rPr>
          <w:lang w:val="en-US"/>
        </w:rPr>
        <w:t xml:space="preserve"> </w:t>
      </w:r>
      <w:r w:rsidR="00266710" w:rsidRPr="001908EE">
        <w:rPr>
          <w:lang w:val="en-US"/>
        </w:rPr>
        <w:t>(p</w:t>
      </w:r>
      <w:r w:rsidR="003E3D4C" w:rsidRPr="001908EE">
        <w:rPr>
          <w:lang w:val="en-US"/>
        </w:rPr>
        <w:t xml:space="preserve"> </w:t>
      </w:r>
      <w:r w:rsidR="00266710" w:rsidRPr="001908EE">
        <w:rPr>
          <w:lang w:val="en-US"/>
        </w:rPr>
        <w:t>&lt;</w:t>
      </w:r>
      <w:r w:rsidR="003E3D4C" w:rsidRPr="001908EE">
        <w:rPr>
          <w:lang w:val="en-US"/>
        </w:rPr>
        <w:t xml:space="preserve"> </w:t>
      </w:r>
      <w:r w:rsidR="00266710" w:rsidRPr="001908EE">
        <w:rPr>
          <w:lang w:val="en-US"/>
        </w:rPr>
        <w:t xml:space="preserve">0.05) </w:t>
      </w:r>
      <w:r w:rsidR="00BC1529" w:rsidRPr="001908EE">
        <w:rPr>
          <w:lang w:val="en-US"/>
        </w:rPr>
        <w:t>on the 2014 CRCT than students in the matched comparison group of nonparticipants</w:t>
      </w:r>
      <w:r w:rsidR="00266710" w:rsidRPr="001908EE">
        <w:rPr>
          <w:lang w:val="en-US"/>
        </w:rPr>
        <w:t>.</w:t>
      </w:r>
    </w:p>
    <w:p w14:paraId="3648DB7B" w14:textId="77777777" w:rsidR="00820A27" w:rsidRPr="001908EE" w:rsidRDefault="00820A27" w:rsidP="00BB6B0C">
      <w:pPr>
        <w:rPr>
          <w:lang w:val="en-US"/>
        </w:rPr>
      </w:pPr>
    </w:p>
    <w:p w14:paraId="2418BF8C" w14:textId="77777777" w:rsidR="00A606EC" w:rsidRPr="001908EE" w:rsidRDefault="00EC3773" w:rsidP="00BB6B0C">
      <w:pPr>
        <w:rPr>
          <w:b/>
          <w:lang w:val="en-US"/>
        </w:rPr>
      </w:pPr>
      <w:r w:rsidRPr="001908EE">
        <w:rPr>
          <w:b/>
          <w:lang w:val="en-US"/>
        </w:rPr>
        <w:t xml:space="preserve">Figure </w:t>
      </w:r>
      <w:r w:rsidR="00CE722C" w:rsidRPr="001908EE">
        <w:rPr>
          <w:b/>
          <w:lang w:val="en-US"/>
        </w:rPr>
        <w:t>11</w:t>
      </w:r>
      <w:r w:rsidR="003316F8" w:rsidRPr="001908EE">
        <w:rPr>
          <w:b/>
          <w:lang w:val="en-US"/>
        </w:rPr>
        <w:t>.</w:t>
      </w:r>
      <w:r w:rsidR="00BC1529" w:rsidRPr="001908EE">
        <w:rPr>
          <w:b/>
          <w:lang w:val="en-US"/>
        </w:rPr>
        <w:t xml:space="preserve"> Locust Grove Middle School Edgenuity Students and </w:t>
      </w:r>
      <w:r w:rsidR="00410224" w:rsidRPr="001908EE">
        <w:rPr>
          <w:b/>
          <w:lang w:val="en-US"/>
        </w:rPr>
        <w:t>Comparison Group</w:t>
      </w:r>
      <w:r w:rsidR="004C21C9" w:rsidRPr="001908EE">
        <w:rPr>
          <w:b/>
          <w:lang w:val="en-US"/>
        </w:rPr>
        <w:t>, Grade 7</w:t>
      </w:r>
    </w:p>
    <w:p w14:paraId="3059248A" w14:textId="34E04C41" w:rsidR="00C17167" w:rsidRPr="00C17167" w:rsidRDefault="00BC1529" w:rsidP="00C17167">
      <w:pPr>
        <w:rPr>
          <w:lang w:val="en-US"/>
        </w:rPr>
      </w:pPr>
      <w:r w:rsidRPr="001908EE">
        <w:rPr>
          <w:lang w:val="en-US"/>
        </w:rPr>
        <w:t>Percentage of Students Meeting or Exceeding the Standard</w:t>
      </w:r>
      <w:r w:rsidR="00266710" w:rsidRPr="001908EE">
        <w:rPr>
          <w:lang w:val="en-US"/>
        </w:rPr>
        <w:t xml:space="preserve"> on CRCT</w:t>
      </w:r>
      <w:r w:rsidRPr="001908EE">
        <w:rPr>
          <w:lang w:val="en-US"/>
        </w:rPr>
        <w:t>, 2014</w:t>
      </w:r>
      <w:r w:rsidR="004C21C9" w:rsidRPr="001908EE">
        <w:rPr>
          <w:lang w:val="en-US"/>
        </w:rPr>
        <w:t>*</w:t>
      </w:r>
    </w:p>
    <w:p w14:paraId="17695613" w14:textId="77777777" w:rsidR="004C21C9" w:rsidRPr="001908EE" w:rsidRDefault="004C21C9" w:rsidP="00BB6B0C">
      <w:pPr>
        <w:rPr>
          <w:lang w:val="en-US"/>
        </w:rPr>
      </w:pPr>
      <w:r w:rsidRPr="001908EE">
        <w:rPr>
          <w:noProof/>
          <w:lang w:val="en-US"/>
        </w:rPr>
        <w:drawing>
          <wp:inline distT="0" distB="0" distL="0" distR="0" wp14:anchorId="29CF7F17" wp14:editId="184B6096">
            <wp:extent cx="54864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17E055" w14:textId="77777777" w:rsidR="004C21C9" w:rsidRPr="001908EE" w:rsidRDefault="004C21C9" w:rsidP="004C21C9">
      <w:pPr>
        <w:rPr>
          <w:lang w:val="en-US"/>
        </w:rPr>
      </w:pPr>
      <w:r w:rsidRPr="001908EE">
        <w:rPr>
          <w:lang w:val="en-US"/>
        </w:rPr>
        <w:t>*Note: Sample sizes are as follows: Edgenuity Students (N = 94); Non-Edgenuity Students, Language Arts (N = 183); Non-Edgenuity Students, Mathematics (N = 181); Non-Edgenuity Students, Reading (N = 183); Non-Edgenuity Students, Science (N = 195); Non-Edgenuity Students, Social Studies (N = 195).</w:t>
      </w:r>
    </w:p>
    <w:p w14:paraId="1205F705" w14:textId="77777777" w:rsidR="00A606EC" w:rsidRPr="001908EE" w:rsidRDefault="00A606EC" w:rsidP="00BB6B0C">
      <w:pPr>
        <w:rPr>
          <w:lang w:val="en-US"/>
        </w:rPr>
      </w:pPr>
    </w:p>
    <w:bookmarkStart w:id="23" w:name="_gysw9x4yhlpl" w:colFirst="0" w:colLast="0"/>
    <w:bookmarkEnd w:id="23"/>
    <w:p w14:paraId="09E24200" w14:textId="77777777" w:rsidR="00A606EC" w:rsidRPr="001908EE" w:rsidRDefault="00FA0CE3" w:rsidP="00496EC8">
      <w:pPr>
        <w:pStyle w:val="Heading2"/>
        <w:rPr>
          <w:lang w:val="en-US"/>
        </w:rPr>
      </w:pPr>
      <w:r w:rsidRPr="001908EE">
        <w:rPr>
          <w:rStyle w:val="Hyperlink"/>
          <w:color w:val="2E7E9D" w:themeColor="accent2" w:themeShade="BF"/>
          <w:lang w:val="en-US"/>
        </w:rPr>
        <w:lastRenderedPageBreak/>
        <w:fldChar w:fldCharType="begin"/>
      </w:r>
      <w:r w:rsidRPr="001908EE">
        <w:rPr>
          <w:rStyle w:val="Hyperlink"/>
          <w:color w:val="2E7E9D" w:themeColor="accent2" w:themeShade="BF"/>
          <w:lang w:val="en-US"/>
        </w:rPr>
        <w:instrText xml:space="preserve"> HYPERLINK "https://www.edgenuity.com/Case-Studies/Pasadena-ISD-Texas-Research-Brief.pdf" </w:instrText>
      </w:r>
      <w:r w:rsidRPr="001908EE">
        <w:rPr>
          <w:rStyle w:val="Hyperlink"/>
          <w:color w:val="2E7E9D" w:themeColor="accent2" w:themeShade="BF"/>
          <w:lang w:val="en-US"/>
        </w:rPr>
        <w:fldChar w:fldCharType="separate"/>
      </w:r>
      <w:bookmarkStart w:id="24" w:name="_Toc19177055"/>
      <w:r w:rsidR="00BC1529" w:rsidRPr="001908EE">
        <w:rPr>
          <w:rStyle w:val="Hyperlink"/>
          <w:color w:val="2E7E9D" w:themeColor="accent2" w:themeShade="BF"/>
          <w:lang w:val="en-US"/>
        </w:rPr>
        <w:t>Pasadena Independent School District</w:t>
      </w:r>
      <w:r w:rsidRPr="001908EE">
        <w:rPr>
          <w:rStyle w:val="Hyperlink"/>
          <w:color w:val="2E7E9D" w:themeColor="accent2" w:themeShade="BF"/>
          <w:lang w:val="en-US"/>
        </w:rPr>
        <w:fldChar w:fldCharType="end"/>
      </w:r>
      <w:r w:rsidR="00691FDC" w:rsidRPr="001908EE">
        <w:rPr>
          <w:rStyle w:val="Hyperlink"/>
          <w:color w:val="2E7E9D" w:themeColor="accent2" w:themeShade="BF"/>
          <w:lang w:val="en-US"/>
        </w:rPr>
        <w:t>, Texas (Level 4)</w:t>
      </w:r>
      <w:bookmarkEnd w:id="24"/>
    </w:p>
    <w:p w14:paraId="480AC2E8" w14:textId="3A45BD66" w:rsidR="00B539E3" w:rsidRPr="001908EE" w:rsidRDefault="00C86557" w:rsidP="00BB6B0C">
      <w:pPr>
        <w:rPr>
          <w:lang w:val="en-US"/>
        </w:rPr>
      </w:pPr>
      <w:r w:rsidRPr="001908EE">
        <w:rPr>
          <w:lang w:val="en-US"/>
        </w:rPr>
        <w:t>During summer 2014</w:t>
      </w:r>
      <w:r w:rsidR="00C34D90" w:rsidRPr="001908EE">
        <w:rPr>
          <w:lang w:val="en-US"/>
        </w:rPr>
        <w:t xml:space="preserve"> and the 2014</w:t>
      </w:r>
      <w:r w:rsidR="004076DB" w:rsidRPr="001908EE">
        <w:rPr>
          <w:lang w:val="en-US"/>
        </w:rPr>
        <w:t>–</w:t>
      </w:r>
      <w:r w:rsidR="00C34D90" w:rsidRPr="001908EE">
        <w:rPr>
          <w:lang w:val="en-US"/>
        </w:rPr>
        <w:t>2015 school year</w:t>
      </w:r>
      <w:r w:rsidRPr="001908EE">
        <w:rPr>
          <w:lang w:val="en-US"/>
        </w:rPr>
        <w:t xml:space="preserve">, </w:t>
      </w:r>
      <w:r w:rsidR="003E3D4C" w:rsidRPr="001908EE">
        <w:rPr>
          <w:lang w:val="en-US"/>
        </w:rPr>
        <w:t xml:space="preserve">Pasadena Independent School District (PISD) </w:t>
      </w:r>
      <w:r w:rsidRPr="001908EE">
        <w:rPr>
          <w:lang w:val="en-US"/>
        </w:rPr>
        <w:t xml:space="preserve">students offered Edgenuity </w:t>
      </w:r>
      <w:r w:rsidR="00C34D90" w:rsidRPr="001908EE">
        <w:rPr>
          <w:lang w:val="en-US"/>
        </w:rPr>
        <w:t xml:space="preserve">online </w:t>
      </w:r>
      <w:r w:rsidR="004076DB" w:rsidRPr="001908EE">
        <w:rPr>
          <w:lang w:val="en-US"/>
        </w:rPr>
        <w:t>a</w:t>
      </w:r>
      <w:r w:rsidR="00C34D90" w:rsidRPr="001908EE">
        <w:rPr>
          <w:lang w:val="en-US"/>
        </w:rPr>
        <w:t xml:space="preserve">lgebra and science courses for initial credit, </w:t>
      </w:r>
      <w:r w:rsidR="00B07EC6" w:rsidRPr="001908EE">
        <w:rPr>
          <w:lang w:val="en-US"/>
        </w:rPr>
        <w:t>.</w:t>
      </w:r>
      <w:r w:rsidR="00C34D90" w:rsidRPr="001908EE">
        <w:rPr>
          <w:lang w:val="en-US"/>
        </w:rPr>
        <w:t>D</w:t>
      </w:r>
      <w:r w:rsidRPr="001908EE">
        <w:rPr>
          <w:lang w:val="en-US"/>
        </w:rPr>
        <w:t>ependent t-test</w:t>
      </w:r>
      <w:r w:rsidR="00C34D90" w:rsidRPr="001908EE">
        <w:rPr>
          <w:lang w:val="en-US"/>
        </w:rPr>
        <w:t>s</w:t>
      </w:r>
      <w:r w:rsidRPr="001908EE">
        <w:rPr>
          <w:lang w:val="en-US"/>
        </w:rPr>
        <w:t xml:space="preserve"> revealed that </w:t>
      </w:r>
      <w:r w:rsidR="00BC1529" w:rsidRPr="001908EE">
        <w:rPr>
          <w:lang w:val="en-US"/>
        </w:rPr>
        <w:t>PISD students demonstrated</w:t>
      </w:r>
      <w:r w:rsidR="00B07EC6" w:rsidRPr="001908EE">
        <w:rPr>
          <w:lang w:val="en-US"/>
        </w:rPr>
        <w:t xml:space="preserve"> statistically</w:t>
      </w:r>
      <w:r w:rsidR="00BC1529" w:rsidRPr="001908EE">
        <w:rPr>
          <w:lang w:val="en-US"/>
        </w:rPr>
        <w:t xml:space="preserve"> significant improvements on the STAAR EOC tests</w:t>
      </w:r>
      <w:r w:rsidRPr="001908EE">
        <w:rPr>
          <w:lang w:val="en-US"/>
        </w:rPr>
        <w:t xml:space="preserve"> (p</w:t>
      </w:r>
      <w:r w:rsidR="003E3D4C" w:rsidRPr="001908EE">
        <w:rPr>
          <w:lang w:val="en-US"/>
        </w:rPr>
        <w:t xml:space="preserve"> </w:t>
      </w:r>
      <w:r w:rsidRPr="001908EE">
        <w:rPr>
          <w:lang w:val="en-US"/>
        </w:rPr>
        <w:t>&lt;</w:t>
      </w:r>
      <w:r w:rsidR="003E3D4C" w:rsidRPr="001908EE">
        <w:rPr>
          <w:lang w:val="en-US"/>
        </w:rPr>
        <w:t xml:space="preserve"> </w:t>
      </w:r>
      <w:r w:rsidRPr="001908EE">
        <w:rPr>
          <w:lang w:val="en-US"/>
        </w:rPr>
        <w:t>0.05)</w:t>
      </w:r>
      <w:r w:rsidR="00BC1529" w:rsidRPr="001908EE">
        <w:rPr>
          <w:lang w:val="en-US"/>
        </w:rPr>
        <w:t xml:space="preserve">. On the STAAR EOC for </w:t>
      </w:r>
      <w:r w:rsidR="004076DB" w:rsidRPr="001908EE">
        <w:rPr>
          <w:lang w:val="en-US"/>
        </w:rPr>
        <w:t>a</w:t>
      </w:r>
      <w:r w:rsidR="00BC1529" w:rsidRPr="001908EE">
        <w:rPr>
          <w:lang w:val="en-US"/>
        </w:rPr>
        <w:t xml:space="preserve">lgebra, PISD students improved </w:t>
      </w:r>
      <w:r w:rsidR="003E3D4C" w:rsidRPr="001908EE">
        <w:rPr>
          <w:lang w:val="en-US"/>
        </w:rPr>
        <w:t xml:space="preserve">from </w:t>
      </w:r>
      <w:r w:rsidR="00BC1529" w:rsidRPr="001908EE">
        <w:rPr>
          <w:lang w:val="en-US"/>
        </w:rPr>
        <w:t>a spring 2014 scale score of 3,273 to a spring 2015 scale score of 3,399, a significant gain of 126</w:t>
      </w:r>
      <w:r w:rsidR="003E3D4C" w:rsidRPr="001908EE">
        <w:rPr>
          <w:lang w:val="en-US"/>
        </w:rPr>
        <w:t xml:space="preserve"> points</w:t>
      </w:r>
      <w:r w:rsidR="00BC1529" w:rsidRPr="001908EE">
        <w:rPr>
          <w:lang w:val="en-US"/>
        </w:rPr>
        <w:t xml:space="preserve">. Similarly, on the STAAR EOC for </w:t>
      </w:r>
      <w:r w:rsidR="004076DB" w:rsidRPr="001908EE">
        <w:rPr>
          <w:lang w:val="en-US"/>
        </w:rPr>
        <w:t>b</w:t>
      </w:r>
      <w:r w:rsidR="00BC1529" w:rsidRPr="001908EE">
        <w:rPr>
          <w:lang w:val="en-US"/>
        </w:rPr>
        <w:t>iology, students improved their performance from a scale score of 3,308 in spring 2014 to a scale score of 3,457 in spring 2015, a significant gain of 149</w:t>
      </w:r>
      <w:r w:rsidR="003E3D4C" w:rsidRPr="001908EE">
        <w:rPr>
          <w:lang w:val="en-US"/>
        </w:rPr>
        <w:t xml:space="preserve"> points</w:t>
      </w:r>
      <w:r w:rsidR="00BC1529" w:rsidRPr="001908EE">
        <w:rPr>
          <w:lang w:val="en-US"/>
        </w:rPr>
        <w:t>.</w:t>
      </w:r>
    </w:p>
    <w:p w14:paraId="5FE40E01" w14:textId="77777777" w:rsidR="00195077" w:rsidRPr="001908EE" w:rsidRDefault="00195077" w:rsidP="00BB6B0C">
      <w:pPr>
        <w:rPr>
          <w:b/>
          <w:lang w:val="en-US"/>
        </w:rPr>
      </w:pPr>
    </w:p>
    <w:p w14:paraId="4AFA2064" w14:textId="207FBF62" w:rsidR="00A606EC" w:rsidRPr="001908EE" w:rsidRDefault="00EC3773" w:rsidP="00BB6B0C">
      <w:pPr>
        <w:rPr>
          <w:b/>
          <w:lang w:val="en-US"/>
        </w:rPr>
      </w:pPr>
      <w:r w:rsidRPr="001908EE">
        <w:rPr>
          <w:b/>
          <w:lang w:val="en-US"/>
        </w:rPr>
        <w:t>Figure 1</w:t>
      </w:r>
      <w:r w:rsidR="00A13B1E" w:rsidRPr="001908EE">
        <w:rPr>
          <w:b/>
          <w:lang w:val="en-US"/>
        </w:rPr>
        <w:t>2</w:t>
      </w:r>
      <w:r w:rsidR="003316F8" w:rsidRPr="001908EE">
        <w:rPr>
          <w:b/>
          <w:lang w:val="en-US"/>
        </w:rPr>
        <w:t>.</w:t>
      </w:r>
      <w:r w:rsidR="00BC1529" w:rsidRPr="001908EE">
        <w:rPr>
          <w:b/>
          <w:lang w:val="en-US"/>
        </w:rPr>
        <w:t xml:space="preserve"> Pasadena Independent School District Edgenuity Students, Grades 9</w:t>
      </w:r>
      <w:r w:rsidR="004076DB" w:rsidRPr="001908EE">
        <w:rPr>
          <w:b/>
          <w:lang w:val="en-US"/>
        </w:rPr>
        <w:t>–</w:t>
      </w:r>
      <w:r w:rsidR="00BC1529" w:rsidRPr="001908EE">
        <w:rPr>
          <w:b/>
          <w:lang w:val="en-US"/>
        </w:rPr>
        <w:t>12</w:t>
      </w:r>
    </w:p>
    <w:p w14:paraId="78B988F9" w14:textId="77777777" w:rsidR="00A606EC" w:rsidRPr="001908EE" w:rsidRDefault="00BC1529" w:rsidP="00BB6B0C">
      <w:pPr>
        <w:rPr>
          <w:lang w:val="en-US"/>
        </w:rPr>
      </w:pPr>
      <w:r w:rsidRPr="001908EE">
        <w:rPr>
          <w:lang w:val="en-US"/>
        </w:rPr>
        <w:t>Performance on STAAR EOC Assessments, 2014 and 2015</w:t>
      </w:r>
    </w:p>
    <w:p w14:paraId="00C8A0D6" w14:textId="77777777" w:rsidR="00CE4A28" w:rsidRPr="001908EE" w:rsidRDefault="00CE4A28" w:rsidP="00BB6B0C">
      <w:pPr>
        <w:rPr>
          <w:lang w:val="en-US"/>
        </w:rPr>
      </w:pPr>
      <w:r w:rsidRPr="001908EE">
        <w:rPr>
          <w:noProof/>
          <w:lang w:val="en-US"/>
        </w:rPr>
        <w:drawing>
          <wp:inline distT="0" distB="0" distL="0" distR="0" wp14:anchorId="1EC51C0F" wp14:editId="0AD21C75">
            <wp:extent cx="5486400" cy="219456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bookmarkStart w:id="25" w:name="_tgmliwn7l9pc" w:colFirst="0" w:colLast="0"/>
    <w:bookmarkStart w:id="26" w:name="_okhvfj8572kz" w:colFirst="0" w:colLast="0"/>
    <w:bookmarkEnd w:id="25"/>
    <w:bookmarkEnd w:id="26"/>
    <w:p w14:paraId="2BCEE645" w14:textId="77777777" w:rsidR="00466881" w:rsidRPr="001908EE" w:rsidRDefault="00466881" w:rsidP="00496EC8">
      <w:pPr>
        <w:pStyle w:val="Heading2"/>
        <w:rPr>
          <w:lang w:val="en-US"/>
        </w:rPr>
      </w:pPr>
      <w:r w:rsidRPr="001908EE">
        <w:rPr>
          <w:rStyle w:val="Hyperlink"/>
          <w:color w:val="2E7E9D" w:themeColor="accent2" w:themeShade="BF"/>
          <w:lang w:val="en-US"/>
        </w:rPr>
        <w:fldChar w:fldCharType="begin"/>
      </w:r>
      <w:r w:rsidRPr="001908EE">
        <w:rPr>
          <w:rStyle w:val="Hyperlink"/>
          <w:color w:val="2E7E9D" w:themeColor="accent2" w:themeShade="BF"/>
          <w:lang w:val="en-US"/>
        </w:rPr>
        <w:instrText xml:space="preserve"> HYPERLINK "https://www.edgenuity.com/Case-Studies/Edgenuity-Dearborn-Case-Study.pdf" </w:instrText>
      </w:r>
      <w:r w:rsidRPr="001908EE">
        <w:rPr>
          <w:rStyle w:val="Hyperlink"/>
          <w:color w:val="2E7E9D" w:themeColor="accent2" w:themeShade="BF"/>
          <w:lang w:val="en-US"/>
        </w:rPr>
        <w:fldChar w:fldCharType="separate"/>
      </w:r>
      <w:bookmarkStart w:id="27" w:name="_Toc19177056"/>
      <w:r w:rsidRPr="001908EE">
        <w:rPr>
          <w:rStyle w:val="Hyperlink"/>
          <w:color w:val="2E7E9D" w:themeColor="accent2" w:themeShade="BF"/>
          <w:lang w:val="en-US"/>
        </w:rPr>
        <w:t>Putnam County Schools</w:t>
      </w:r>
      <w:r w:rsidRPr="001908EE">
        <w:rPr>
          <w:rStyle w:val="Hyperlink"/>
          <w:color w:val="2E7E9D" w:themeColor="accent2" w:themeShade="BF"/>
          <w:lang w:val="en-US"/>
        </w:rPr>
        <w:fldChar w:fldCharType="end"/>
      </w:r>
      <w:r w:rsidRPr="001908EE">
        <w:rPr>
          <w:rStyle w:val="Hyperlink"/>
          <w:color w:val="2E7E9D" w:themeColor="accent2" w:themeShade="BF"/>
          <w:lang w:val="en-US"/>
        </w:rPr>
        <w:t>, Tennessee</w:t>
      </w:r>
      <w:r w:rsidR="00A13B1E" w:rsidRPr="001908EE">
        <w:rPr>
          <w:rStyle w:val="Hyperlink"/>
          <w:color w:val="2E7E9D" w:themeColor="accent2" w:themeShade="BF"/>
          <w:lang w:val="en-US"/>
        </w:rPr>
        <w:t xml:space="preserve"> (Level 4)</w:t>
      </w:r>
      <w:bookmarkEnd w:id="27"/>
    </w:p>
    <w:p w14:paraId="3B64A535" w14:textId="72EDCD35" w:rsidR="00466881" w:rsidRPr="001908EE" w:rsidRDefault="00F441B1" w:rsidP="00466881">
      <w:pPr>
        <w:rPr>
          <w:lang w:val="en-US"/>
        </w:rPr>
      </w:pPr>
      <w:r w:rsidRPr="001908EE">
        <w:rPr>
          <w:color w:val="353535"/>
          <w:lang w:val="en-US"/>
        </w:rPr>
        <w:t xml:space="preserve">In 2008, </w:t>
      </w:r>
      <w:r w:rsidR="00DA6977" w:rsidRPr="001908EE">
        <w:rPr>
          <w:color w:val="353535"/>
          <w:lang w:val="en-US"/>
        </w:rPr>
        <w:t xml:space="preserve">Putnam County Schools began using Edgenuity’s online credit recovery courses. </w:t>
      </w:r>
      <w:r w:rsidR="00B24162" w:rsidRPr="001908EE">
        <w:rPr>
          <w:color w:val="353535"/>
          <w:lang w:val="en-US"/>
        </w:rPr>
        <w:t xml:space="preserve">After implementing </w:t>
      </w:r>
      <w:r w:rsidR="004076DB" w:rsidRPr="001908EE">
        <w:rPr>
          <w:lang w:val="en-US"/>
        </w:rPr>
        <w:t>the Edgenuity blended learning program</w:t>
      </w:r>
      <w:r w:rsidR="00B24162" w:rsidRPr="001908EE">
        <w:rPr>
          <w:color w:val="353535"/>
          <w:lang w:val="en-US"/>
        </w:rPr>
        <w:t xml:space="preserve">, the district </w:t>
      </w:r>
      <w:r w:rsidR="00466881" w:rsidRPr="001908EE">
        <w:rPr>
          <w:lang w:val="en-US"/>
        </w:rPr>
        <w:t xml:space="preserve">increased </w:t>
      </w:r>
      <w:r w:rsidR="004076DB" w:rsidRPr="001908EE">
        <w:rPr>
          <w:lang w:val="en-US"/>
        </w:rPr>
        <w:t xml:space="preserve">its </w:t>
      </w:r>
      <w:r w:rsidR="00B24162" w:rsidRPr="001908EE">
        <w:rPr>
          <w:lang w:val="en-US"/>
        </w:rPr>
        <w:t xml:space="preserve">four-year </w:t>
      </w:r>
      <w:r w:rsidR="00466881" w:rsidRPr="001908EE">
        <w:rPr>
          <w:lang w:val="en-US"/>
        </w:rPr>
        <w:t>graduation rate from 86 percent in 2008 to 92.6 percent in 2015.</w:t>
      </w:r>
    </w:p>
    <w:p w14:paraId="1F22B3D1" w14:textId="77777777" w:rsidR="00466881" w:rsidRPr="001908EE" w:rsidRDefault="00466881" w:rsidP="00466881">
      <w:pPr>
        <w:rPr>
          <w:lang w:val="en-US"/>
        </w:rPr>
      </w:pPr>
    </w:p>
    <w:p w14:paraId="115914B9" w14:textId="77777777" w:rsidR="00466881" w:rsidRPr="001908EE" w:rsidRDefault="00466881" w:rsidP="00466881">
      <w:pPr>
        <w:rPr>
          <w:lang w:val="en-US"/>
        </w:rPr>
      </w:pPr>
      <w:r w:rsidRPr="001908EE">
        <w:rPr>
          <w:b/>
          <w:lang w:val="en-US"/>
        </w:rPr>
        <w:t xml:space="preserve">Figure </w:t>
      </w:r>
      <w:r w:rsidR="00A13B1E" w:rsidRPr="001908EE">
        <w:rPr>
          <w:b/>
          <w:lang w:val="en-US"/>
        </w:rPr>
        <w:t>13</w:t>
      </w:r>
      <w:r w:rsidR="003316F8" w:rsidRPr="001908EE">
        <w:rPr>
          <w:b/>
          <w:lang w:val="en-US"/>
        </w:rPr>
        <w:t>.</w:t>
      </w:r>
      <w:r w:rsidRPr="001908EE">
        <w:rPr>
          <w:b/>
          <w:lang w:val="en-US"/>
        </w:rPr>
        <w:t xml:space="preserve"> Putnam County Schools</w:t>
      </w:r>
      <w:r w:rsidRPr="001908EE">
        <w:rPr>
          <w:lang w:val="en-US"/>
        </w:rPr>
        <w:br/>
        <w:t>Four-Year Graduation Rate, 2008 to 2015</w:t>
      </w:r>
    </w:p>
    <w:p w14:paraId="217CAEBD" w14:textId="77777777" w:rsidR="00466881" w:rsidRPr="001908EE" w:rsidRDefault="00466881" w:rsidP="00466881">
      <w:pPr>
        <w:rPr>
          <w:lang w:val="en-US"/>
        </w:rPr>
      </w:pPr>
      <w:r w:rsidRPr="001908EE">
        <w:rPr>
          <w:noProof/>
          <w:lang w:val="en-US"/>
        </w:rPr>
        <w:drawing>
          <wp:inline distT="0" distB="0" distL="0" distR="0" wp14:anchorId="399A600A" wp14:editId="72632790">
            <wp:extent cx="3543300" cy="20193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483E9C" w14:textId="77777777" w:rsidR="0057457E" w:rsidRPr="001908EE" w:rsidRDefault="0057457E" w:rsidP="00496EC8">
      <w:pPr>
        <w:pStyle w:val="Heading2"/>
        <w:rPr>
          <w:rStyle w:val="Hyperlink"/>
          <w:color w:val="2E7E9D" w:themeColor="accent2" w:themeShade="BF"/>
          <w:lang w:val="en-US"/>
        </w:rPr>
      </w:pPr>
      <w:bookmarkStart w:id="28" w:name="_Toc19177057"/>
      <w:r w:rsidRPr="001908EE">
        <w:rPr>
          <w:rStyle w:val="Hyperlink"/>
          <w:color w:val="2E7E9D" w:themeColor="accent2" w:themeShade="BF"/>
          <w:lang w:val="en-US"/>
        </w:rPr>
        <w:t>Rio Rancho Cyber Academy, New Mexico</w:t>
      </w:r>
      <w:r w:rsidR="00DE3BCD" w:rsidRPr="001908EE">
        <w:rPr>
          <w:rStyle w:val="Hyperlink"/>
          <w:color w:val="2E7E9D" w:themeColor="accent2" w:themeShade="BF"/>
          <w:lang w:val="en-US"/>
        </w:rPr>
        <w:t xml:space="preserve"> (Level 4)</w:t>
      </w:r>
      <w:bookmarkEnd w:id="28"/>
    </w:p>
    <w:p w14:paraId="7495918D" w14:textId="77777777" w:rsidR="0083253B" w:rsidRPr="0083253B" w:rsidRDefault="0083253B" w:rsidP="0083253B">
      <w:pPr>
        <w:rPr>
          <w:lang w:val="en-US"/>
        </w:rPr>
      </w:pPr>
      <w:r w:rsidRPr="0083253B">
        <w:rPr>
          <w:lang w:val="en-US"/>
        </w:rPr>
        <w:t xml:space="preserve">Founded in 2005, Rio Rancho Cyber Academy (RRCA) is an accredited, diploma-granting school that uses </w:t>
      </w:r>
      <w:proofErr w:type="spellStart"/>
      <w:r w:rsidRPr="0083253B">
        <w:rPr>
          <w:lang w:val="en-US"/>
        </w:rPr>
        <w:t>Edgenuity</w:t>
      </w:r>
      <w:proofErr w:type="spellEnd"/>
      <w:r w:rsidRPr="0083253B">
        <w:rPr>
          <w:lang w:val="en-US"/>
        </w:rPr>
        <w:t xml:space="preserve"> online courses as its core curriculum for students in grades 6–12. In 2020, Weld North Education compared the performance of RRCA students and students in the district and state on the 2019 New Mexico Measured Progress Exam. Data showed that, on average, a greater percentage of RRCA students than district </w:t>
      </w:r>
      <w:r w:rsidRPr="0083253B">
        <w:rPr>
          <w:lang w:val="en-US"/>
        </w:rPr>
        <w:lastRenderedPageBreak/>
        <w:t xml:space="preserve">or state students scored at the Proficient level on the spring 2019 New Mexico Measured Progress English Exam in English language arts (ELA) and math assessments (Figures 1 and 2). Notably, while 80 percent of </w:t>
      </w:r>
      <w:proofErr w:type="spellStart"/>
      <w:r w:rsidRPr="0083253B">
        <w:rPr>
          <w:lang w:val="en-US"/>
        </w:rPr>
        <w:t>Edgenuity</w:t>
      </w:r>
      <w:proofErr w:type="spellEnd"/>
      <w:r w:rsidRPr="0083253B">
        <w:rPr>
          <w:lang w:val="en-US"/>
        </w:rPr>
        <w:t xml:space="preserve"> 9th-grade students achieved proficiency on the spring 2019 New Mexico Measured Progress Exam in math, only 31 percent of students in the district and 17 percent in the state scored at the Proficient level.</w:t>
      </w:r>
    </w:p>
    <w:p w14:paraId="662241BF" w14:textId="77777777" w:rsidR="00AA6AFE" w:rsidRPr="001908EE" w:rsidRDefault="00AA6AFE" w:rsidP="0057457E">
      <w:pPr>
        <w:rPr>
          <w:lang w:val="en-US"/>
        </w:rPr>
      </w:pPr>
    </w:p>
    <w:p w14:paraId="7DBF5C50" w14:textId="77777777" w:rsidR="0083253B" w:rsidRDefault="00AA6AFE" w:rsidP="00AA6AFE">
      <w:pPr>
        <w:rPr>
          <w:b/>
          <w:lang w:val="en-US"/>
        </w:rPr>
      </w:pPr>
      <w:r w:rsidRPr="001908EE">
        <w:rPr>
          <w:b/>
          <w:lang w:val="en-US"/>
        </w:rPr>
        <w:t>Figure 1</w:t>
      </w:r>
      <w:r w:rsidR="005A00FF" w:rsidRPr="001908EE">
        <w:rPr>
          <w:b/>
          <w:lang w:val="en-US"/>
        </w:rPr>
        <w:t>4</w:t>
      </w:r>
      <w:r w:rsidR="003316F8" w:rsidRPr="001908EE">
        <w:rPr>
          <w:b/>
          <w:lang w:val="en-US"/>
        </w:rPr>
        <w:t>.</w:t>
      </w:r>
      <w:r w:rsidRPr="001908EE">
        <w:rPr>
          <w:b/>
          <w:lang w:val="en-US"/>
        </w:rPr>
        <w:t xml:space="preserve"> </w:t>
      </w:r>
      <w:r w:rsidR="0083253B" w:rsidRPr="0083253B">
        <w:rPr>
          <w:b/>
          <w:lang w:val="en-US"/>
        </w:rPr>
        <w:t>Rio Rancho Cyber Academy, Rio Rancho Public Schools, and New Mexico State Students</w:t>
      </w:r>
      <w:r w:rsidRPr="001908EE">
        <w:rPr>
          <w:b/>
          <w:lang w:val="en-US"/>
        </w:rPr>
        <w:t xml:space="preserve">, Grades </w:t>
      </w:r>
      <w:r w:rsidR="0083253B">
        <w:rPr>
          <w:b/>
          <w:lang w:val="en-US"/>
        </w:rPr>
        <w:t>6–11</w:t>
      </w:r>
    </w:p>
    <w:p w14:paraId="2E892697" w14:textId="77777777" w:rsidR="0083253B" w:rsidRPr="0083253B" w:rsidRDefault="0083253B" w:rsidP="0083253B">
      <w:pPr>
        <w:rPr>
          <w:lang w:val="en-US"/>
        </w:rPr>
      </w:pPr>
      <w:r w:rsidRPr="0083253B">
        <w:rPr>
          <w:lang w:val="en-US"/>
        </w:rPr>
        <w:t xml:space="preserve">Percentage of Students Achieving Proficiency on the ELA New Mexico Measured Progress Exam by Grade Level, Spring 2019 </w:t>
      </w:r>
    </w:p>
    <w:p w14:paraId="1B1B3F74" w14:textId="0F90513C" w:rsidR="00AA6AFE" w:rsidRPr="0083253B" w:rsidRDefault="0083253B" w:rsidP="00AA6AFE">
      <w:pPr>
        <w:rPr>
          <w:b/>
          <w:lang w:val="en-US"/>
        </w:rPr>
      </w:pPr>
      <w:r>
        <w:rPr>
          <w:noProof/>
          <w:lang w:val="en-US"/>
        </w:rPr>
        <w:drawing>
          <wp:inline distT="0" distB="0" distL="0" distR="0" wp14:anchorId="3B0FE332" wp14:editId="45B4BB99">
            <wp:extent cx="6858000" cy="2656205"/>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20"/>
                    <a:stretch>
                      <a:fillRect/>
                    </a:stretch>
                  </pic:blipFill>
                  <pic:spPr>
                    <a:xfrm>
                      <a:off x="0" y="0"/>
                      <a:ext cx="6858000" cy="2656205"/>
                    </a:xfrm>
                    <a:prstGeom prst="rect">
                      <a:avLst/>
                    </a:prstGeom>
                  </pic:spPr>
                </pic:pic>
              </a:graphicData>
            </a:graphic>
          </wp:inline>
        </w:drawing>
      </w:r>
    </w:p>
    <w:p w14:paraId="56F133E3" w14:textId="77777777" w:rsidR="00A606EC" w:rsidRPr="001908EE" w:rsidRDefault="008B1B9E" w:rsidP="00496EC8">
      <w:pPr>
        <w:pStyle w:val="Heading2"/>
        <w:rPr>
          <w:lang w:val="en-US"/>
        </w:rPr>
      </w:pPr>
      <w:hyperlink r:id="rId21" w:history="1">
        <w:bookmarkStart w:id="29" w:name="_Toc19177058"/>
        <w:r w:rsidR="00BC1529" w:rsidRPr="001908EE">
          <w:rPr>
            <w:rStyle w:val="Hyperlink"/>
            <w:color w:val="2E7E9D" w:themeColor="accent2" w:themeShade="BF"/>
            <w:lang w:val="en-US"/>
          </w:rPr>
          <w:t>Success Virtual Learning Centers</w:t>
        </w:r>
      </w:hyperlink>
      <w:r w:rsidR="00133CEA" w:rsidRPr="001908EE">
        <w:rPr>
          <w:rStyle w:val="Hyperlink"/>
          <w:color w:val="2E7E9D" w:themeColor="accent2" w:themeShade="BF"/>
          <w:lang w:val="en-US"/>
        </w:rPr>
        <w:t>, Michigan (Level 4)</w:t>
      </w:r>
      <w:bookmarkEnd w:id="29"/>
    </w:p>
    <w:p w14:paraId="7E607D81" w14:textId="4D67A7D0" w:rsidR="00F27EBD" w:rsidRPr="001908EE" w:rsidRDefault="0040411F" w:rsidP="00FC3180">
      <w:pPr>
        <w:pStyle w:val="NoSpacing"/>
        <w:rPr>
          <w:lang w:val="en-US"/>
        </w:rPr>
      </w:pPr>
      <w:r w:rsidRPr="001908EE">
        <w:rPr>
          <w:lang w:val="en-US"/>
        </w:rPr>
        <w:t xml:space="preserve">Located in Michigan, Success Virtual Learning Centers (SVLC) are designed to provide blended and virtual learning options to students who are struggling academically, at risk of dropping out, or who need an alternative to the traditional school setting. </w:t>
      </w:r>
      <w:r w:rsidR="00C34D90" w:rsidRPr="001908EE">
        <w:rPr>
          <w:lang w:val="en-US"/>
        </w:rPr>
        <w:t xml:space="preserve">As part of a two-year study, </w:t>
      </w:r>
      <w:proofErr w:type="spellStart"/>
      <w:r w:rsidR="00C34D90" w:rsidRPr="001908EE">
        <w:rPr>
          <w:lang w:val="en-US"/>
        </w:rPr>
        <w:t>Hypothesi</w:t>
      </w:r>
      <w:proofErr w:type="spellEnd"/>
      <w:r w:rsidR="00C34D90" w:rsidRPr="001908EE">
        <w:rPr>
          <w:lang w:val="en-US"/>
        </w:rPr>
        <w:t xml:space="preserve"> LLC examined the reading, mathematics, and writing outcomes of Success Virtual Learning Center students who used Edgenuity during the 2013–2014 and 2014–2015 school years. Results showed that overall, students who used Edgenuity courses made statistically significant improvements in their reading, mathe</w:t>
      </w:r>
      <w:r w:rsidRPr="001908EE">
        <w:rPr>
          <w:lang w:val="en-US"/>
        </w:rPr>
        <w:t>matics, and writing achievement as measured by the NWEA MAP Growth Mathematics, Language, and Reading tests and by the BASI Mathematics, Written Language, and Reading tests.</w:t>
      </w:r>
      <w:r w:rsidR="00C34D90" w:rsidRPr="001908EE">
        <w:rPr>
          <w:lang w:val="en-US"/>
        </w:rPr>
        <w:t xml:space="preserve"> </w:t>
      </w:r>
      <w:r w:rsidRPr="001908EE">
        <w:rPr>
          <w:lang w:val="en-US"/>
        </w:rPr>
        <w:t xml:space="preserve">For example, on the MAP Growth </w:t>
      </w:r>
      <w:r w:rsidR="00137017" w:rsidRPr="001908EE">
        <w:rPr>
          <w:lang w:val="en-US"/>
        </w:rPr>
        <w:t>M</w:t>
      </w:r>
      <w:r w:rsidR="00BC1529" w:rsidRPr="001908EE">
        <w:rPr>
          <w:lang w:val="en-US"/>
        </w:rPr>
        <w:t xml:space="preserve">ath assessment, Edgenuity students demonstrated a statistically significant gain of 2.6 </w:t>
      </w:r>
      <w:r w:rsidR="00CE4A28" w:rsidRPr="001908EE">
        <w:rPr>
          <w:lang w:val="en-US"/>
        </w:rPr>
        <w:t xml:space="preserve">RIT </w:t>
      </w:r>
      <w:r w:rsidR="00BC1529" w:rsidRPr="001908EE">
        <w:rPr>
          <w:lang w:val="en-US"/>
        </w:rPr>
        <w:t>points.</w:t>
      </w:r>
    </w:p>
    <w:p w14:paraId="56BBA93C" w14:textId="77777777" w:rsidR="003D73B2" w:rsidRPr="001908EE" w:rsidRDefault="003D73B2" w:rsidP="00FC3180">
      <w:pPr>
        <w:pStyle w:val="NoSpacing"/>
        <w:rPr>
          <w:lang w:val="en-US"/>
        </w:rPr>
      </w:pPr>
    </w:p>
    <w:p w14:paraId="785847DF" w14:textId="7ACF3F23" w:rsidR="00A606EC" w:rsidRPr="001908EE" w:rsidRDefault="00EC3773" w:rsidP="00BB6B0C">
      <w:pPr>
        <w:rPr>
          <w:b/>
          <w:lang w:val="en-US"/>
        </w:rPr>
      </w:pPr>
      <w:r w:rsidRPr="001908EE">
        <w:rPr>
          <w:b/>
          <w:lang w:val="en-US"/>
        </w:rPr>
        <w:t>Figure 1</w:t>
      </w:r>
      <w:r w:rsidR="003D73B2" w:rsidRPr="001908EE">
        <w:rPr>
          <w:b/>
          <w:lang w:val="en-US"/>
        </w:rPr>
        <w:t>5</w:t>
      </w:r>
      <w:r w:rsidR="003316F8" w:rsidRPr="001908EE">
        <w:rPr>
          <w:b/>
          <w:lang w:val="en-US"/>
        </w:rPr>
        <w:t>.</w:t>
      </w:r>
      <w:r w:rsidR="00BC1529" w:rsidRPr="001908EE">
        <w:rPr>
          <w:b/>
          <w:lang w:val="en-US"/>
        </w:rPr>
        <w:t xml:space="preserve"> Success Virtual Learning Center Edgenuity Students, Grades 9</w:t>
      </w:r>
      <w:r w:rsidR="004076DB" w:rsidRPr="001908EE">
        <w:rPr>
          <w:b/>
          <w:lang w:val="en-US"/>
        </w:rPr>
        <w:t>–</w:t>
      </w:r>
      <w:r w:rsidR="00BC1529" w:rsidRPr="001908EE">
        <w:rPr>
          <w:b/>
          <w:lang w:val="en-US"/>
        </w:rPr>
        <w:t>12</w:t>
      </w:r>
    </w:p>
    <w:p w14:paraId="6DCA377C" w14:textId="77777777" w:rsidR="00A606EC" w:rsidRPr="001908EE" w:rsidRDefault="00BC1529" w:rsidP="00BB6B0C">
      <w:pPr>
        <w:rPr>
          <w:lang w:val="en-US"/>
        </w:rPr>
      </w:pPr>
      <w:r w:rsidRPr="001908EE">
        <w:rPr>
          <w:lang w:val="en-US"/>
        </w:rPr>
        <w:t xml:space="preserve">Performance on the NWEA MAP </w:t>
      </w:r>
      <w:r w:rsidR="00137017" w:rsidRPr="001908EE">
        <w:rPr>
          <w:lang w:val="en-US"/>
        </w:rPr>
        <w:t xml:space="preserve">Growth Reading, Language, and Math </w:t>
      </w:r>
      <w:r w:rsidRPr="001908EE">
        <w:rPr>
          <w:lang w:val="en-US"/>
        </w:rPr>
        <w:t>Assessments, Fall 2014 to Spring 2015</w:t>
      </w:r>
    </w:p>
    <w:p w14:paraId="01BF8B75" w14:textId="77777777" w:rsidR="00A606EC" w:rsidRPr="001908EE" w:rsidRDefault="00CE4A28" w:rsidP="00BB6B0C">
      <w:pPr>
        <w:rPr>
          <w:lang w:val="en-US"/>
        </w:rPr>
      </w:pPr>
      <w:r w:rsidRPr="001908EE">
        <w:rPr>
          <w:noProof/>
          <w:lang w:val="en-US"/>
        </w:rPr>
        <w:lastRenderedPageBreak/>
        <w:drawing>
          <wp:inline distT="0" distB="0" distL="0" distR="0" wp14:anchorId="0D82E260" wp14:editId="7133422E">
            <wp:extent cx="5486400" cy="2433099"/>
            <wp:effectExtent l="0" t="0" r="0" b="571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bookmarkStart w:id="30" w:name="_3m0vhyuso35f" w:colFirst="0" w:colLast="0"/>
    <w:bookmarkEnd w:id="30"/>
    <w:p w14:paraId="2C55C146" w14:textId="77777777" w:rsidR="00FC3180" w:rsidRPr="001908EE" w:rsidRDefault="00FC3180" w:rsidP="00496EC8">
      <w:pPr>
        <w:pStyle w:val="Heading2"/>
        <w:rPr>
          <w:lang w:val="en-US"/>
        </w:rPr>
      </w:pPr>
      <w:r w:rsidRPr="001908EE">
        <w:rPr>
          <w:rStyle w:val="Hyperlink"/>
          <w:color w:val="2E7E9D" w:themeColor="accent2" w:themeShade="BF"/>
          <w:lang w:val="en-US"/>
        </w:rPr>
        <w:fldChar w:fldCharType="begin"/>
      </w:r>
      <w:r w:rsidRPr="001908EE">
        <w:rPr>
          <w:rStyle w:val="Hyperlink"/>
          <w:color w:val="2E7E9D" w:themeColor="accent2" w:themeShade="BF"/>
          <w:lang w:val="en-US"/>
        </w:rPr>
        <w:instrText xml:space="preserve"> HYPERLINK "https://www.edgenuity.com/Case-Studies/Success-Virtual-Michigan-Research-Brief.pdf" </w:instrText>
      </w:r>
      <w:r w:rsidRPr="001908EE">
        <w:rPr>
          <w:rStyle w:val="Hyperlink"/>
          <w:color w:val="2E7E9D" w:themeColor="accent2" w:themeShade="BF"/>
          <w:lang w:val="en-US"/>
        </w:rPr>
        <w:fldChar w:fldCharType="separate"/>
      </w:r>
      <w:bookmarkStart w:id="31" w:name="_Toc19177059"/>
      <w:r w:rsidRPr="001908EE">
        <w:rPr>
          <w:rStyle w:val="Hyperlink"/>
          <w:color w:val="2E7E9D" w:themeColor="accent2" w:themeShade="BF"/>
          <w:lang w:val="en-US"/>
        </w:rPr>
        <w:t>Taos</w:t>
      </w:r>
      <w:r w:rsidRPr="001908EE">
        <w:rPr>
          <w:rStyle w:val="Hyperlink"/>
          <w:color w:val="2E7E9D" w:themeColor="accent2" w:themeShade="BF"/>
          <w:lang w:val="en-US"/>
        </w:rPr>
        <w:fldChar w:fldCharType="end"/>
      </w:r>
      <w:r w:rsidRPr="001908EE">
        <w:rPr>
          <w:rStyle w:val="Hyperlink"/>
          <w:color w:val="2E7E9D" w:themeColor="accent2" w:themeShade="BF"/>
          <w:lang w:val="en-US"/>
        </w:rPr>
        <w:t xml:space="preserve"> Academy Charter School</w:t>
      </w:r>
      <w:r w:rsidR="003D73B2" w:rsidRPr="001908EE">
        <w:rPr>
          <w:rStyle w:val="Hyperlink"/>
          <w:color w:val="2E7E9D" w:themeColor="accent2" w:themeShade="BF"/>
          <w:lang w:val="en-US"/>
        </w:rPr>
        <w:t>, New Mexico (Level 4)</w:t>
      </w:r>
      <w:bookmarkEnd w:id="31"/>
    </w:p>
    <w:p w14:paraId="70E475FE" w14:textId="6B764F34" w:rsidR="00100AA8" w:rsidRPr="001908EE" w:rsidRDefault="00100AA8" w:rsidP="006F2AA3">
      <w:pPr>
        <w:pStyle w:val="NoSpacing"/>
        <w:rPr>
          <w:lang w:val="en-US"/>
        </w:rPr>
      </w:pPr>
      <w:r w:rsidRPr="001908EE">
        <w:rPr>
          <w:lang w:val="en-US"/>
        </w:rPr>
        <w:t>During the 2017–2018 school year, Taos Academy Charter School (TACS) used Edgenuity courses with 203 students in grades 5 to 12. Students arrive at TACS in 5th or 6th grade performing well below grade level in reading and mathematics. However, within a year of instruction, they perform</w:t>
      </w:r>
      <w:r w:rsidR="004076DB" w:rsidRPr="001908EE">
        <w:rPr>
          <w:lang w:val="en-US"/>
        </w:rPr>
        <w:t>ed</w:t>
      </w:r>
      <w:r w:rsidRPr="001908EE">
        <w:rPr>
          <w:lang w:val="en-US"/>
        </w:rPr>
        <w:t xml:space="preserve"> well above their peers. In 2018, TACS students posted higher proficiency rates than the state average on the PARCC English language arts and mathematics tests. Additionally, more than double the number of 11</w:t>
      </w:r>
      <w:r w:rsidRPr="00C17167">
        <w:rPr>
          <w:lang w:val="en-US"/>
        </w:rPr>
        <w:t>th</w:t>
      </w:r>
      <w:r w:rsidRPr="001908EE">
        <w:rPr>
          <w:lang w:val="en-US"/>
        </w:rPr>
        <w:t xml:space="preserve"> grade TACS students achieved proficiency on the 2018 SBA </w:t>
      </w:r>
      <w:r w:rsidR="004076DB" w:rsidRPr="001908EE">
        <w:rPr>
          <w:lang w:val="en-US"/>
        </w:rPr>
        <w:t>s</w:t>
      </w:r>
      <w:r w:rsidRPr="001908EE">
        <w:rPr>
          <w:lang w:val="en-US"/>
        </w:rPr>
        <w:t>cience exam compared to students in other schools across the state.</w:t>
      </w:r>
    </w:p>
    <w:p w14:paraId="078F80C5" w14:textId="77777777" w:rsidR="00100AA8" w:rsidRPr="001908EE" w:rsidRDefault="00100AA8" w:rsidP="006F2AA3">
      <w:pPr>
        <w:pStyle w:val="NoSpacing"/>
        <w:rPr>
          <w:lang w:val="en-US"/>
        </w:rPr>
      </w:pPr>
    </w:p>
    <w:p w14:paraId="274BC3D5" w14:textId="30113AD0" w:rsidR="00FC3180" w:rsidRPr="001908EE" w:rsidRDefault="006F2AA3" w:rsidP="006F2AA3">
      <w:pPr>
        <w:pStyle w:val="NoSpacing"/>
        <w:rPr>
          <w:lang w:val="en-US"/>
        </w:rPr>
      </w:pPr>
      <w:r w:rsidRPr="001908EE">
        <w:rPr>
          <w:b/>
          <w:lang w:val="en-US"/>
        </w:rPr>
        <w:t xml:space="preserve">Figure </w:t>
      </w:r>
      <w:r w:rsidR="00B539E3" w:rsidRPr="001908EE">
        <w:rPr>
          <w:b/>
          <w:lang w:val="en-US"/>
        </w:rPr>
        <w:t>1</w:t>
      </w:r>
      <w:r w:rsidR="00F8058B" w:rsidRPr="001908EE">
        <w:rPr>
          <w:b/>
          <w:lang w:val="en-US"/>
        </w:rPr>
        <w:t>6</w:t>
      </w:r>
      <w:r w:rsidRPr="001908EE">
        <w:rPr>
          <w:b/>
          <w:lang w:val="en-US"/>
        </w:rPr>
        <w:t>. Taos Academy Students and Students Across New Mexico</w:t>
      </w:r>
      <w:r w:rsidRPr="001908EE">
        <w:rPr>
          <w:lang w:val="en-US"/>
        </w:rPr>
        <w:br/>
        <w:t xml:space="preserve">Percentage Achieving Proficiency on PARCC ELA and Math </w:t>
      </w:r>
      <w:r w:rsidR="004076DB" w:rsidRPr="001908EE">
        <w:rPr>
          <w:lang w:val="en-US"/>
        </w:rPr>
        <w:t>A</w:t>
      </w:r>
      <w:r w:rsidRPr="001908EE">
        <w:rPr>
          <w:lang w:val="en-US"/>
        </w:rPr>
        <w:t xml:space="preserve">ssessments and SBA Science </w:t>
      </w:r>
      <w:r w:rsidR="004076DB" w:rsidRPr="001908EE">
        <w:rPr>
          <w:lang w:val="en-US"/>
        </w:rPr>
        <w:t>A</w:t>
      </w:r>
      <w:r w:rsidRPr="001908EE">
        <w:rPr>
          <w:lang w:val="en-US"/>
        </w:rPr>
        <w:t>ssessments, 2018</w:t>
      </w:r>
    </w:p>
    <w:p w14:paraId="20A49A0C" w14:textId="77777777" w:rsidR="006F2AA3" w:rsidRPr="001908EE" w:rsidRDefault="006F2AA3" w:rsidP="006F2AA3">
      <w:pPr>
        <w:pStyle w:val="NoSpacing"/>
        <w:rPr>
          <w:lang w:val="en-US"/>
        </w:rPr>
      </w:pPr>
      <w:r w:rsidRPr="001908EE">
        <w:rPr>
          <w:noProof/>
          <w:lang w:val="en-US"/>
        </w:rPr>
        <w:drawing>
          <wp:inline distT="0" distB="0" distL="0" distR="0" wp14:anchorId="567EDF96" wp14:editId="5C546784">
            <wp:extent cx="6543675" cy="253646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5B685C4" w14:textId="77777777" w:rsidR="00DD3CCB" w:rsidRPr="001908EE" w:rsidRDefault="008B1B9E" w:rsidP="00496EC8">
      <w:pPr>
        <w:pStyle w:val="Heading2"/>
        <w:rPr>
          <w:rStyle w:val="Hyperlink"/>
          <w:color w:val="2E7E9D" w:themeColor="accent2" w:themeShade="BF"/>
          <w:lang w:val="en-US"/>
        </w:rPr>
      </w:pPr>
      <w:hyperlink r:id="rId24" w:history="1">
        <w:bookmarkStart w:id="32" w:name="_Toc19177060"/>
        <w:r w:rsidR="00DD3CCB" w:rsidRPr="001908EE">
          <w:rPr>
            <w:rStyle w:val="Hyperlink"/>
            <w:color w:val="2E7E9D" w:themeColor="accent2" w:themeShade="BF"/>
            <w:lang w:val="en-US"/>
          </w:rPr>
          <w:t>Utah Online</w:t>
        </w:r>
      </w:hyperlink>
      <w:r w:rsidR="00F8058B" w:rsidRPr="001908EE">
        <w:rPr>
          <w:rStyle w:val="Hyperlink"/>
          <w:color w:val="2E7E9D" w:themeColor="accent2" w:themeShade="BF"/>
          <w:lang w:val="en-US"/>
        </w:rPr>
        <w:t>, Utah (Level 4)</w:t>
      </w:r>
      <w:bookmarkEnd w:id="32"/>
    </w:p>
    <w:p w14:paraId="26368E04" w14:textId="3CD4CBBD" w:rsidR="00DD3CCB" w:rsidRPr="001908EE" w:rsidRDefault="00744777" w:rsidP="00DD3CCB">
      <w:pPr>
        <w:rPr>
          <w:lang w:val="en-US"/>
        </w:rPr>
      </w:pPr>
      <w:r w:rsidRPr="001908EE">
        <w:rPr>
          <w:lang w:val="en-US"/>
        </w:rPr>
        <w:t>Utah Online uses Edgenuity Courseware with students who require immediate credit recovery, and students who are eager to take on additional coursework and graduate early. Over two academic years, Utah Online was restructured to include remediation for more than 120 students a year. After two years using Edgenuity, Utah Online</w:t>
      </w:r>
      <w:r w:rsidR="00A4240F" w:rsidRPr="001908EE">
        <w:rPr>
          <w:lang w:val="en-US"/>
        </w:rPr>
        <w:t xml:space="preserve"> students had </w:t>
      </w:r>
      <w:r w:rsidRPr="001908EE">
        <w:rPr>
          <w:lang w:val="en-US"/>
        </w:rPr>
        <w:t>a 12</w:t>
      </w:r>
      <w:r w:rsidR="00DD3CCB" w:rsidRPr="001908EE">
        <w:rPr>
          <w:lang w:val="en-US"/>
        </w:rPr>
        <w:t xml:space="preserve"> percent increase in two-year graduation rates</w:t>
      </w:r>
      <w:r w:rsidRPr="001908EE">
        <w:rPr>
          <w:lang w:val="en-US"/>
        </w:rPr>
        <w:t>.</w:t>
      </w:r>
    </w:p>
    <w:p w14:paraId="15F2F2D1" w14:textId="77777777" w:rsidR="00A4240F" w:rsidRPr="001908EE" w:rsidRDefault="00A4240F" w:rsidP="00DD3CCB">
      <w:pPr>
        <w:rPr>
          <w:lang w:val="en-US"/>
        </w:rPr>
      </w:pPr>
    </w:p>
    <w:p w14:paraId="2459FAB8" w14:textId="77777777" w:rsidR="00A4240F" w:rsidRPr="001908EE" w:rsidRDefault="00A4240F" w:rsidP="00DD3CCB">
      <w:pPr>
        <w:rPr>
          <w:lang w:val="en-US"/>
        </w:rPr>
      </w:pPr>
      <w:r w:rsidRPr="001908EE">
        <w:rPr>
          <w:b/>
          <w:lang w:val="en-US"/>
        </w:rPr>
        <w:t xml:space="preserve">Figure </w:t>
      </w:r>
      <w:r w:rsidR="00B539E3" w:rsidRPr="001908EE">
        <w:rPr>
          <w:b/>
          <w:lang w:val="en-US"/>
        </w:rPr>
        <w:t>1</w:t>
      </w:r>
      <w:r w:rsidR="000131A8" w:rsidRPr="001908EE">
        <w:rPr>
          <w:b/>
          <w:lang w:val="en-US"/>
        </w:rPr>
        <w:t>7</w:t>
      </w:r>
      <w:r w:rsidRPr="001908EE">
        <w:rPr>
          <w:b/>
          <w:lang w:val="en-US"/>
        </w:rPr>
        <w:t>. Utah Online Students</w:t>
      </w:r>
      <w:r w:rsidRPr="001908EE">
        <w:rPr>
          <w:lang w:val="en-US"/>
        </w:rPr>
        <w:br/>
        <w:t>Graduation Rates, 2012 and 2014</w:t>
      </w:r>
    </w:p>
    <w:p w14:paraId="2AF42090" w14:textId="77777777" w:rsidR="00744777" w:rsidRPr="001908EE" w:rsidRDefault="00744777" w:rsidP="00DD3CCB">
      <w:pPr>
        <w:rPr>
          <w:lang w:val="en-US"/>
        </w:rPr>
      </w:pPr>
      <w:r w:rsidRPr="001908EE">
        <w:rPr>
          <w:noProof/>
          <w:lang w:val="en-US"/>
        </w:rPr>
        <w:lastRenderedPageBreak/>
        <w:drawing>
          <wp:inline distT="0" distB="0" distL="0" distR="0" wp14:anchorId="2D140D9E" wp14:editId="755B37FE">
            <wp:extent cx="3695700" cy="2130950"/>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92053B" w14:textId="77777777" w:rsidR="006D063F" w:rsidRPr="001908EE" w:rsidRDefault="006D063F" w:rsidP="00496EC8">
      <w:pPr>
        <w:pStyle w:val="Heading2"/>
        <w:rPr>
          <w:rStyle w:val="Hyperlink"/>
          <w:color w:val="2E7E9D" w:themeColor="accent2" w:themeShade="BF"/>
          <w:lang w:val="en-US"/>
        </w:rPr>
      </w:pPr>
      <w:bookmarkStart w:id="33" w:name="_Toc19177061"/>
      <w:r w:rsidRPr="001908EE">
        <w:rPr>
          <w:rStyle w:val="Hyperlink"/>
          <w:color w:val="2E7E9D" w:themeColor="accent2" w:themeShade="BF"/>
          <w:lang w:val="en-US"/>
        </w:rPr>
        <w:t xml:space="preserve">Vertus </w:t>
      </w:r>
      <w:r w:rsidR="004A3FA6" w:rsidRPr="001908EE">
        <w:rPr>
          <w:rStyle w:val="Hyperlink"/>
          <w:color w:val="2E7E9D" w:themeColor="accent2" w:themeShade="BF"/>
          <w:lang w:val="en-US"/>
        </w:rPr>
        <w:t>High School</w:t>
      </w:r>
      <w:r w:rsidR="001F1CA7" w:rsidRPr="001908EE">
        <w:rPr>
          <w:rStyle w:val="Hyperlink"/>
          <w:color w:val="2E7E9D" w:themeColor="accent2" w:themeShade="BF"/>
          <w:lang w:val="en-US"/>
        </w:rPr>
        <w:t>, New York (Level 4)</w:t>
      </w:r>
      <w:bookmarkEnd w:id="33"/>
    </w:p>
    <w:p w14:paraId="66DFAF3A" w14:textId="77777777" w:rsidR="006D063F" w:rsidRPr="001908EE" w:rsidRDefault="004A3FA6" w:rsidP="006D063F">
      <w:pPr>
        <w:rPr>
          <w:lang w:val="en-US"/>
        </w:rPr>
      </w:pPr>
      <w:r w:rsidRPr="001908EE">
        <w:rPr>
          <w:lang w:val="en-US"/>
        </w:rPr>
        <w:t>Vertus Charter School (VCS) uses a blended learning model in which students learn in part through Edgenuity’s online courses and in part through in-person instruction and support. To assess program impact, fall and spring MAP Growth data were collected from 9th grade students enrolled in the school during the 2014–2015, 2015–2016, and 2016–2017 school years. Findings show that for three straight cohorts, students using Edgenuity online courses eliminated the mathematics achievement gap that had existed between VCS students and the national norm on the mathematics RIT scale. For example, in fall 2014, 2015, and 2016, 9th grade Edgenuity students were performing 6, 7, and 5 points, respectively, below the national norm. However, after using Edgenuity for two years, these students were performing 4, 2, and 3 points, respectively, above it.</w:t>
      </w:r>
    </w:p>
    <w:p w14:paraId="2E523B95" w14:textId="77777777" w:rsidR="004A3FA6" w:rsidRPr="001908EE" w:rsidRDefault="004A3FA6" w:rsidP="006D063F">
      <w:pPr>
        <w:rPr>
          <w:lang w:val="en-US"/>
        </w:rPr>
      </w:pPr>
    </w:p>
    <w:p w14:paraId="23C4921B" w14:textId="77777777" w:rsidR="006D063F" w:rsidRPr="001908EE" w:rsidRDefault="006D063F" w:rsidP="006D063F">
      <w:pPr>
        <w:rPr>
          <w:b/>
          <w:lang w:val="en-US"/>
        </w:rPr>
      </w:pPr>
      <w:r w:rsidRPr="001908EE">
        <w:rPr>
          <w:b/>
          <w:lang w:val="en-US"/>
        </w:rPr>
        <w:t>Figure 1</w:t>
      </w:r>
      <w:r w:rsidR="001F1CA7" w:rsidRPr="001908EE">
        <w:rPr>
          <w:b/>
          <w:lang w:val="en-US"/>
        </w:rPr>
        <w:t>8</w:t>
      </w:r>
      <w:r w:rsidR="003316F8" w:rsidRPr="001908EE">
        <w:rPr>
          <w:b/>
          <w:lang w:val="en-US"/>
        </w:rPr>
        <w:t>.</w:t>
      </w:r>
      <w:r w:rsidRPr="001908EE">
        <w:rPr>
          <w:b/>
          <w:lang w:val="en-US"/>
        </w:rPr>
        <w:t xml:space="preserve"> </w:t>
      </w:r>
      <w:r w:rsidR="004A3FA6" w:rsidRPr="001908EE">
        <w:rPr>
          <w:b/>
          <w:lang w:val="en-US"/>
        </w:rPr>
        <w:t>Vertus Charter School Students</w:t>
      </w:r>
      <w:r w:rsidRPr="001908EE">
        <w:rPr>
          <w:b/>
          <w:lang w:val="en-US"/>
        </w:rPr>
        <w:t>, Grade 9</w:t>
      </w:r>
    </w:p>
    <w:p w14:paraId="4725DA85" w14:textId="77777777" w:rsidR="004A3FA6" w:rsidRPr="001908EE" w:rsidRDefault="004A3FA6" w:rsidP="006D063F">
      <w:pPr>
        <w:rPr>
          <w:lang w:val="en-US"/>
        </w:rPr>
      </w:pPr>
      <w:r w:rsidRPr="001908EE">
        <w:rPr>
          <w:lang w:val="en-US"/>
        </w:rPr>
        <w:t>NWEA MAP Math Norm and Mean RIT Scores, by Cohort</w:t>
      </w:r>
    </w:p>
    <w:p w14:paraId="123CE973" w14:textId="77777777" w:rsidR="004A3FA6" w:rsidRPr="001908EE" w:rsidRDefault="004A3FA6" w:rsidP="006D063F">
      <w:pPr>
        <w:rPr>
          <w:lang w:val="en-US"/>
        </w:rPr>
      </w:pPr>
      <w:r w:rsidRPr="001908EE">
        <w:rPr>
          <w:noProof/>
          <w:lang w:val="en-US"/>
        </w:rPr>
        <w:drawing>
          <wp:inline distT="0" distB="0" distL="0" distR="0" wp14:anchorId="4780040F" wp14:editId="152885CC">
            <wp:extent cx="7172325" cy="2965836"/>
            <wp:effectExtent l="0" t="0" r="9525" b="6350"/>
            <wp:docPr id="11" name="Chart 11">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D49F0B" w14:textId="77777777" w:rsidR="006D063F" w:rsidRPr="001908EE" w:rsidRDefault="006D063F" w:rsidP="006D063F">
      <w:pPr>
        <w:rPr>
          <w:lang w:val="en-US"/>
        </w:rPr>
      </w:pPr>
    </w:p>
    <w:p w14:paraId="08E640AA" w14:textId="77777777" w:rsidR="00A606EC" w:rsidRPr="001908EE" w:rsidRDefault="00BC1529" w:rsidP="00496EC8">
      <w:pPr>
        <w:pStyle w:val="Heading2"/>
        <w:rPr>
          <w:rStyle w:val="Hyperlink"/>
          <w:color w:val="2E7E9D" w:themeColor="accent2" w:themeShade="BF"/>
          <w:lang w:val="en-US"/>
        </w:rPr>
      </w:pPr>
      <w:bookmarkStart w:id="34" w:name="_Toc19177062"/>
      <w:r w:rsidRPr="001908EE">
        <w:rPr>
          <w:rStyle w:val="Hyperlink"/>
          <w:color w:val="2E7E9D" w:themeColor="accent2" w:themeShade="BF"/>
          <w:lang w:val="en-US"/>
        </w:rPr>
        <w:t>Village Green</w:t>
      </w:r>
      <w:r w:rsidR="00B610EE" w:rsidRPr="001908EE">
        <w:rPr>
          <w:rStyle w:val="Hyperlink"/>
          <w:color w:val="2E7E9D" w:themeColor="accent2" w:themeShade="BF"/>
          <w:lang w:val="en-US"/>
        </w:rPr>
        <w:t xml:space="preserve"> Virtual Charter Schoo</w:t>
      </w:r>
      <w:r w:rsidR="004A009F" w:rsidRPr="001908EE">
        <w:rPr>
          <w:rStyle w:val="Hyperlink"/>
          <w:color w:val="2E7E9D" w:themeColor="accent2" w:themeShade="BF"/>
          <w:lang w:val="en-US"/>
        </w:rPr>
        <w:t>l, Rhode Island (Level 4)</w:t>
      </w:r>
      <w:bookmarkEnd w:id="34"/>
    </w:p>
    <w:p w14:paraId="0D1A5F8D" w14:textId="2E5BCDAA" w:rsidR="001301AE" w:rsidRPr="001301AE" w:rsidRDefault="00B07EC6" w:rsidP="001301AE">
      <w:pPr>
        <w:rPr>
          <w:lang w:val="en-US"/>
        </w:rPr>
      </w:pPr>
      <w:r w:rsidRPr="001908EE">
        <w:rPr>
          <w:lang w:val="en-US"/>
        </w:rPr>
        <w:t>Situated in the heart of Providence, Village Green Virtual Charter School (VGVCS) is the first public blended learning high school in Rhode Island.</w:t>
      </w:r>
      <w:r w:rsidR="00415D0D" w:rsidRPr="001908EE">
        <w:rPr>
          <w:lang w:val="en-US"/>
        </w:rPr>
        <w:t xml:space="preserve"> </w:t>
      </w:r>
      <w:r w:rsidR="001301AE">
        <w:rPr>
          <w:lang w:val="en-US"/>
        </w:rPr>
        <w:t xml:space="preserve">During the 2014–2015 academic year, </w:t>
      </w:r>
      <w:r w:rsidR="001301AE" w:rsidRPr="001301AE">
        <w:rPr>
          <w:lang w:val="en-US"/>
        </w:rPr>
        <w:t xml:space="preserve">74 </w:t>
      </w:r>
      <w:r w:rsidR="001301AE">
        <w:rPr>
          <w:lang w:val="en-US"/>
        </w:rPr>
        <w:t>10</w:t>
      </w:r>
      <w:r w:rsidR="001301AE" w:rsidRPr="001301AE">
        <w:rPr>
          <w:vertAlign w:val="superscript"/>
          <w:lang w:val="en-US"/>
        </w:rPr>
        <w:t>th</w:t>
      </w:r>
      <w:r w:rsidR="001301AE">
        <w:rPr>
          <w:lang w:val="en-US"/>
        </w:rPr>
        <w:t>- and 11</w:t>
      </w:r>
      <w:r w:rsidR="001301AE" w:rsidRPr="001301AE">
        <w:rPr>
          <w:vertAlign w:val="superscript"/>
          <w:lang w:val="en-US"/>
        </w:rPr>
        <w:t>th</w:t>
      </w:r>
      <w:r w:rsidR="001301AE">
        <w:rPr>
          <w:lang w:val="en-US"/>
        </w:rPr>
        <w:t xml:space="preserve">-grade </w:t>
      </w:r>
      <w:r w:rsidR="001301AE" w:rsidRPr="001301AE">
        <w:rPr>
          <w:lang w:val="en-US"/>
        </w:rPr>
        <w:t xml:space="preserve">VGVCS students who took an </w:t>
      </w:r>
      <w:proofErr w:type="spellStart"/>
      <w:r w:rsidR="001301AE" w:rsidRPr="001301AE">
        <w:rPr>
          <w:lang w:val="en-US"/>
        </w:rPr>
        <w:t>Edgenuity</w:t>
      </w:r>
      <w:proofErr w:type="spellEnd"/>
      <w:r w:rsidR="001301AE" w:rsidRPr="001301AE">
        <w:rPr>
          <w:lang w:val="en-US"/>
        </w:rPr>
        <w:t xml:space="preserve"> English language arts </w:t>
      </w:r>
      <w:proofErr w:type="spellStart"/>
      <w:r w:rsidR="001301AE" w:rsidRPr="001301AE">
        <w:rPr>
          <w:lang w:val="en-US"/>
        </w:rPr>
        <w:t>courseand</w:t>
      </w:r>
      <w:proofErr w:type="spellEnd"/>
      <w:r w:rsidR="001301AE" w:rsidRPr="001301AE">
        <w:rPr>
          <w:lang w:val="en-US"/>
        </w:rPr>
        <w:t xml:space="preserve"> took the fall 2014 and spring 2015 NWEA MAP Growth Reading test</w:t>
      </w:r>
      <w:r w:rsidR="001301AE">
        <w:rPr>
          <w:lang w:val="en-US"/>
        </w:rPr>
        <w:t xml:space="preserve">; </w:t>
      </w:r>
      <w:r w:rsidR="001301AE" w:rsidRPr="001301AE">
        <w:rPr>
          <w:lang w:val="en-US"/>
        </w:rPr>
        <w:t xml:space="preserve">83 </w:t>
      </w:r>
      <w:r w:rsidR="001301AE">
        <w:rPr>
          <w:lang w:val="en-US"/>
        </w:rPr>
        <w:t>10</w:t>
      </w:r>
      <w:r w:rsidR="001301AE" w:rsidRPr="001301AE">
        <w:rPr>
          <w:vertAlign w:val="superscript"/>
          <w:lang w:val="en-US"/>
        </w:rPr>
        <w:t>th</w:t>
      </w:r>
      <w:r w:rsidR="001301AE">
        <w:rPr>
          <w:lang w:val="en-US"/>
        </w:rPr>
        <w:t>- and 11</w:t>
      </w:r>
      <w:r w:rsidR="001301AE" w:rsidRPr="001301AE">
        <w:rPr>
          <w:vertAlign w:val="superscript"/>
          <w:lang w:val="en-US"/>
        </w:rPr>
        <w:t>th</w:t>
      </w:r>
      <w:r w:rsidR="001301AE">
        <w:rPr>
          <w:lang w:val="en-US"/>
        </w:rPr>
        <w:t xml:space="preserve">-grade </w:t>
      </w:r>
      <w:r w:rsidR="001301AE" w:rsidRPr="001301AE">
        <w:rPr>
          <w:lang w:val="en-US"/>
        </w:rPr>
        <w:t xml:space="preserve">VGVS students took an </w:t>
      </w:r>
      <w:proofErr w:type="spellStart"/>
      <w:r w:rsidR="001301AE" w:rsidRPr="001301AE">
        <w:rPr>
          <w:lang w:val="en-US"/>
        </w:rPr>
        <w:t>Edgenuity</w:t>
      </w:r>
      <w:proofErr w:type="spellEnd"/>
      <w:r w:rsidR="001301AE" w:rsidRPr="001301AE">
        <w:rPr>
          <w:lang w:val="en-US"/>
        </w:rPr>
        <w:t xml:space="preserve"> mathematics course and the fall 2014 and spring 2015 NWEA MAP</w:t>
      </w:r>
    </w:p>
    <w:p w14:paraId="6136E665" w14:textId="4708E594" w:rsidR="001301AE" w:rsidRDefault="001301AE" w:rsidP="001301AE">
      <w:pPr>
        <w:rPr>
          <w:lang w:val="en-US"/>
        </w:rPr>
      </w:pPr>
      <w:r w:rsidRPr="001301AE">
        <w:rPr>
          <w:lang w:val="en-US"/>
        </w:rPr>
        <w:lastRenderedPageBreak/>
        <w:t xml:space="preserve">Growth Mathematics test. VGVCS students enrolled in </w:t>
      </w:r>
      <w:proofErr w:type="spellStart"/>
      <w:r w:rsidRPr="001301AE">
        <w:rPr>
          <w:lang w:val="en-US"/>
        </w:rPr>
        <w:t>Edgenuity</w:t>
      </w:r>
      <w:proofErr w:type="spellEnd"/>
      <w:r w:rsidRPr="001301AE">
        <w:rPr>
          <w:lang w:val="en-US"/>
        </w:rPr>
        <w:t xml:space="preserve"> demonstrated gains in reading and</w:t>
      </w:r>
      <w:r>
        <w:rPr>
          <w:lang w:val="en-US"/>
        </w:rPr>
        <w:t xml:space="preserve"> </w:t>
      </w:r>
      <w:r w:rsidRPr="001301AE">
        <w:rPr>
          <w:lang w:val="en-US"/>
        </w:rPr>
        <w:t>mathematics on the NWEA MAP Growth</w:t>
      </w:r>
      <w:r>
        <w:rPr>
          <w:lang w:val="en-US"/>
        </w:rPr>
        <w:t xml:space="preserve"> </w:t>
      </w:r>
      <w:r w:rsidRPr="001301AE">
        <w:rPr>
          <w:lang w:val="en-US"/>
        </w:rPr>
        <w:t xml:space="preserve">assessments from fall 2014 to spring 2015. These findings provide preliminary evidence that </w:t>
      </w:r>
      <w:proofErr w:type="spellStart"/>
      <w:r w:rsidRPr="001301AE">
        <w:rPr>
          <w:lang w:val="en-US"/>
        </w:rPr>
        <w:t>Edgenuity</w:t>
      </w:r>
      <w:proofErr w:type="spellEnd"/>
      <w:r w:rsidRPr="001301AE">
        <w:rPr>
          <w:lang w:val="en-US"/>
        </w:rPr>
        <w:t xml:space="preserve"> can have a positive impact on</w:t>
      </w:r>
      <w:r>
        <w:rPr>
          <w:lang w:val="en-US"/>
        </w:rPr>
        <w:t xml:space="preserve"> </w:t>
      </w:r>
      <w:r w:rsidRPr="001301AE">
        <w:rPr>
          <w:lang w:val="en-US"/>
        </w:rPr>
        <w:t>students’ academic achievement.</w:t>
      </w:r>
    </w:p>
    <w:p w14:paraId="14FAAE49" w14:textId="45F0BAD5" w:rsidR="001301AE" w:rsidRDefault="001301AE" w:rsidP="00BB6B0C">
      <w:pPr>
        <w:rPr>
          <w:lang w:val="en-US"/>
        </w:rPr>
      </w:pPr>
    </w:p>
    <w:p w14:paraId="06BD2A1C" w14:textId="0DFAD8C0" w:rsidR="001301AE" w:rsidRDefault="001301AE" w:rsidP="001301AE">
      <w:pPr>
        <w:rPr>
          <w:b/>
          <w:lang w:val="en-US"/>
        </w:rPr>
      </w:pPr>
      <w:r w:rsidRPr="001908EE">
        <w:rPr>
          <w:b/>
          <w:lang w:val="en-US"/>
        </w:rPr>
        <w:t xml:space="preserve">Figure 19. </w:t>
      </w:r>
      <w:r w:rsidRPr="001301AE">
        <w:rPr>
          <w:b/>
          <w:lang w:val="en-US"/>
        </w:rPr>
        <w:t xml:space="preserve">Village Green Virtual Charter School </w:t>
      </w:r>
      <w:proofErr w:type="spellStart"/>
      <w:r w:rsidRPr="001301AE">
        <w:rPr>
          <w:b/>
          <w:lang w:val="en-US"/>
        </w:rPr>
        <w:t>Edgenuity</w:t>
      </w:r>
      <w:proofErr w:type="spellEnd"/>
      <w:r w:rsidRPr="001301AE">
        <w:rPr>
          <w:b/>
          <w:lang w:val="en-US"/>
        </w:rPr>
        <w:t xml:space="preserve"> Students, Grades 10–11 (N = 74)</w:t>
      </w:r>
    </w:p>
    <w:p w14:paraId="6B5A04EE" w14:textId="2639CC13" w:rsidR="002051C8" w:rsidRPr="002051C8" w:rsidRDefault="002051C8" w:rsidP="001301AE">
      <w:pPr>
        <w:rPr>
          <w:bCs/>
          <w:lang w:val="en-US"/>
        </w:rPr>
      </w:pPr>
      <w:r w:rsidRPr="002051C8">
        <w:rPr>
          <w:bCs/>
          <w:lang w:val="en-US"/>
        </w:rPr>
        <w:t xml:space="preserve">Performance on the NWEA MAP Growth </w:t>
      </w:r>
      <w:r w:rsidRPr="002051C8">
        <w:rPr>
          <w:bCs/>
          <w:lang w:val="en-US"/>
        </w:rPr>
        <w:t xml:space="preserve">Reading </w:t>
      </w:r>
      <w:r w:rsidRPr="002051C8">
        <w:rPr>
          <w:bCs/>
          <w:lang w:val="en-US"/>
        </w:rPr>
        <w:t>Assessment</w:t>
      </w:r>
    </w:p>
    <w:p w14:paraId="3F3C48AF" w14:textId="76A41044" w:rsidR="001301AE" w:rsidRDefault="001301AE" w:rsidP="00BB6B0C">
      <w:pPr>
        <w:rPr>
          <w:lang w:val="en-US"/>
        </w:rPr>
      </w:pPr>
      <w:r>
        <w:rPr>
          <w:noProof/>
          <w:lang w:val="en-US"/>
        </w:rPr>
        <w:drawing>
          <wp:inline distT="0" distB="0" distL="0" distR="0" wp14:anchorId="19F95B2F" wp14:editId="662B154B">
            <wp:extent cx="5396459" cy="2286000"/>
            <wp:effectExtent l="0" t="0" r="127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27"/>
                    <a:stretch>
                      <a:fillRect/>
                    </a:stretch>
                  </pic:blipFill>
                  <pic:spPr>
                    <a:xfrm>
                      <a:off x="0" y="0"/>
                      <a:ext cx="5396459" cy="2286000"/>
                    </a:xfrm>
                    <a:prstGeom prst="rect">
                      <a:avLst/>
                    </a:prstGeom>
                  </pic:spPr>
                </pic:pic>
              </a:graphicData>
            </a:graphic>
          </wp:inline>
        </w:drawing>
      </w:r>
    </w:p>
    <w:p w14:paraId="1842F1C1" w14:textId="2095CAEC" w:rsidR="001301AE" w:rsidRDefault="001301AE" w:rsidP="001301AE">
      <w:pPr>
        <w:rPr>
          <w:b/>
          <w:lang w:val="en-US"/>
        </w:rPr>
      </w:pPr>
      <w:r w:rsidRPr="001908EE">
        <w:rPr>
          <w:b/>
          <w:lang w:val="en-US"/>
        </w:rPr>
        <w:t xml:space="preserve">Figure </w:t>
      </w:r>
      <w:r>
        <w:rPr>
          <w:b/>
          <w:lang w:val="en-US"/>
        </w:rPr>
        <w:t>20</w:t>
      </w:r>
      <w:r w:rsidRPr="001908EE">
        <w:rPr>
          <w:b/>
          <w:lang w:val="en-US"/>
        </w:rPr>
        <w:t xml:space="preserve">. </w:t>
      </w:r>
      <w:r w:rsidRPr="001301AE">
        <w:rPr>
          <w:b/>
          <w:lang w:val="en-US"/>
        </w:rPr>
        <w:t xml:space="preserve">Village Green Virtual Charter School </w:t>
      </w:r>
      <w:proofErr w:type="spellStart"/>
      <w:r w:rsidRPr="001301AE">
        <w:rPr>
          <w:b/>
          <w:lang w:val="en-US"/>
        </w:rPr>
        <w:t>Edgenuity</w:t>
      </w:r>
      <w:proofErr w:type="spellEnd"/>
      <w:r w:rsidRPr="001301AE">
        <w:rPr>
          <w:b/>
          <w:lang w:val="en-US"/>
        </w:rPr>
        <w:t xml:space="preserve"> Students, Grades 10–11 (N = </w:t>
      </w:r>
      <w:r w:rsidR="002051C8">
        <w:rPr>
          <w:b/>
          <w:lang w:val="en-US"/>
        </w:rPr>
        <w:t>83</w:t>
      </w:r>
      <w:r w:rsidRPr="001301AE">
        <w:rPr>
          <w:b/>
          <w:lang w:val="en-US"/>
        </w:rPr>
        <w:t>)</w:t>
      </w:r>
    </w:p>
    <w:p w14:paraId="2D968AF7" w14:textId="4DAD574C" w:rsidR="002051C8" w:rsidRPr="002051C8" w:rsidRDefault="002051C8" w:rsidP="001301AE">
      <w:pPr>
        <w:rPr>
          <w:bCs/>
          <w:lang w:val="en-US"/>
        </w:rPr>
      </w:pPr>
      <w:r w:rsidRPr="002051C8">
        <w:rPr>
          <w:bCs/>
          <w:lang w:val="en-US"/>
        </w:rPr>
        <w:t>Performance on the NWEA MAP Growth Mathematics Assessment</w:t>
      </w:r>
    </w:p>
    <w:p w14:paraId="0F1103C2" w14:textId="77777777" w:rsidR="001301AE" w:rsidRDefault="001301AE" w:rsidP="00BB6B0C">
      <w:pPr>
        <w:rPr>
          <w:lang w:val="en-US"/>
        </w:rPr>
      </w:pPr>
    </w:p>
    <w:p w14:paraId="5E6707C9" w14:textId="79B126CB" w:rsidR="001301AE" w:rsidRDefault="001301AE" w:rsidP="00BB6B0C">
      <w:pPr>
        <w:rPr>
          <w:lang w:val="en-US"/>
        </w:rPr>
      </w:pPr>
      <w:r>
        <w:rPr>
          <w:noProof/>
          <w:lang w:val="en-US"/>
        </w:rPr>
        <w:drawing>
          <wp:inline distT="0" distB="0" distL="0" distR="0" wp14:anchorId="1C2A30CF" wp14:editId="3AED4EDE">
            <wp:extent cx="5199832" cy="2286000"/>
            <wp:effectExtent l="0" t="0" r="0"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28"/>
                    <a:stretch>
                      <a:fillRect/>
                    </a:stretch>
                  </pic:blipFill>
                  <pic:spPr>
                    <a:xfrm>
                      <a:off x="0" y="0"/>
                      <a:ext cx="5199832" cy="2286000"/>
                    </a:xfrm>
                    <a:prstGeom prst="rect">
                      <a:avLst/>
                    </a:prstGeom>
                  </pic:spPr>
                </pic:pic>
              </a:graphicData>
            </a:graphic>
          </wp:inline>
        </w:drawing>
      </w:r>
    </w:p>
    <w:p w14:paraId="044B812B" w14:textId="1231A103" w:rsidR="00A606EC" w:rsidRPr="001908EE" w:rsidRDefault="00415D0D" w:rsidP="00BB6B0C">
      <w:pPr>
        <w:rPr>
          <w:lang w:val="en-US"/>
        </w:rPr>
      </w:pPr>
      <w:r w:rsidRPr="001908EE">
        <w:rPr>
          <w:lang w:val="en-US"/>
        </w:rPr>
        <w:t>In 2015, 9th and 10th grade students took the Partnership for Assessment of Readiness for College and Careers (PARCC) English Language Arts/Literacy assessment, with results that were less than ideal: Only 16 percent of students scored proficient or above. After two years of a specially designed curriculum that involved unique, differentiated coursework for each student, students demonstrated impressive gains on the 2017 assessment. Proficiency rose to 40 percent, which was the single highest gain of any high school in Rhode Island.</w:t>
      </w:r>
      <w:r w:rsidR="00B07EC6" w:rsidRPr="001908EE">
        <w:rPr>
          <w:lang w:val="en-US"/>
        </w:rPr>
        <w:t xml:space="preserve"> </w:t>
      </w:r>
    </w:p>
    <w:p w14:paraId="3689D849" w14:textId="77777777" w:rsidR="00635979" w:rsidRPr="001908EE" w:rsidRDefault="00635979" w:rsidP="00BB6B0C">
      <w:pPr>
        <w:rPr>
          <w:lang w:val="en-US"/>
        </w:rPr>
      </w:pPr>
    </w:p>
    <w:p w14:paraId="613B26C9" w14:textId="26ACF161" w:rsidR="00A606EC" w:rsidRPr="001908EE" w:rsidRDefault="00BC1529" w:rsidP="00BB6B0C">
      <w:pPr>
        <w:rPr>
          <w:b/>
          <w:lang w:val="en-US"/>
        </w:rPr>
      </w:pPr>
      <w:r w:rsidRPr="001908EE">
        <w:rPr>
          <w:b/>
          <w:lang w:val="en-US"/>
        </w:rPr>
        <w:t>F</w:t>
      </w:r>
      <w:r w:rsidR="00EC3773" w:rsidRPr="001908EE">
        <w:rPr>
          <w:b/>
          <w:lang w:val="en-US"/>
        </w:rPr>
        <w:t xml:space="preserve">igure </w:t>
      </w:r>
      <w:r w:rsidR="002F18D2">
        <w:rPr>
          <w:b/>
          <w:lang w:val="en-US"/>
        </w:rPr>
        <w:t>21</w:t>
      </w:r>
      <w:r w:rsidR="003316F8" w:rsidRPr="001908EE">
        <w:rPr>
          <w:b/>
          <w:lang w:val="en-US"/>
        </w:rPr>
        <w:t>.</w:t>
      </w:r>
      <w:r w:rsidRPr="001908EE">
        <w:rPr>
          <w:b/>
          <w:lang w:val="en-US"/>
        </w:rPr>
        <w:t xml:space="preserve"> Village Green Virtual Charter School Edgenuity Students, Grade 9</w:t>
      </w:r>
    </w:p>
    <w:p w14:paraId="354BC4B0" w14:textId="77777777" w:rsidR="00A606EC" w:rsidRPr="001908EE" w:rsidRDefault="00BC1529" w:rsidP="00BB6B0C">
      <w:pPr>
        <w:rPr>
          <w:lang w:val="en-US"/>
        </w:rPr>
      </w:pPr>
      <w:r w:rsidRPr="001908EE">
        <w:rPr>
          <w:lang w:val="en-US"/>
        </w:rPr>
        <w:t>Percentage of Students Achieving Proficiency</w:t>
      </w:r>
      <w:r w:rsidR="006A1DE8" w:rsidRPr="001908EE">
        <w:rPr>
          <w:lang w:val="en-US"/>
        </w:rPr>
        <w:t xml:space="preserve"> or Above</w:t>
      </w:r>
      <w:r w:rsidRPr="001908EE">
        <w:rPr>
          <w:lang w:val="en-US"/>
        </w:rPr>
        <w:t xml:space="preserve"> on the PARCC English Language Arts/Literacy Assessment</w:t>
      </w:r>
    </w:p>
    <w:p w14:paraId="36C55B58" w14:textId="77777777" w:rsidR="00A606EC" w:rsidRPr="001908EE" w:rsidRDefault="00635979" w:rsidP="00BB6B0C">
      <w:pPr>
        <w:rPr>
          <w:lang w:val="en-US"/>
        </w:rPr>
      </w:pPr>
      <w:r w:rsidRPr="001908EE">
        <w:rPr>
          <w:noProof/>
          <w:lang w:val="en-US"/>
        </w:rPr>
        <w:lastRenderedPageBreak/>
        <w:drawing>
          <wp:inline distT="0" distB="0" distL="0" distR="0" wp14:anchorId="4EA1AE7D" wp14:editId="2BAFC0E9">
            <wp:extent cx="5486400" cy="27432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Start w:id="35" w:name="_4wzs3j2mm1x" w:colFirst="0" w:colLast="0"/>
      <w:bookmarkStart w:id="36" w:name="_9tz1u5elkmv7" w:colFirst="0" w:colLast="0"/>
      <w:bookmarkStart w:id="37" w:name="_hsa0n4w06he4" w:colFirst="0" w:colLast="0"/>
      <w:bookmarkStart w:id="38" w:name="_5o5rtg12lf1k" w:colFirst="0" w:colLast="0"/>
      <w:bookmarkStart w:id="39" w:name="_264g8umo9q7b" w:colFirst="0" w:colLast="0"/>
      <w:bookmarkStart w:id="40" w:name="_lebh8w6eccdu" w:colFirst="0" w:colLast="0"/>
      <w:bookmarkStart w:id="41" w:name="_vogl1rzfzqwt" w:colFirst="0" w:colLast="0"/>
      <w:bookmarkStart w:id="42" w:name="_ot4p2yuk3u7m" w:colFirst="0" w:colLast="0"/>
      <w:bookmarkStart w:id="43" w:name="_zi4bypul3sgc" w:colFirst="0" w:colLast="0"/>
      <w:bookmarkStart w:id="44" w:name="_1emyglo7y3dw" w:colFirst="0" w:colLast="0"/>
      <w:bookmarkStart w:id="45" w:name="_dvkh4khjag9y" w:colFirst="0" w:colLast="0"/>
      <w:bookmarkStart w:id="46" w:name="_65eutknineir" w:colFirst="0" w:colLast="0"/>
      <w:bookmarkStart w:id="47" w:name="_nne9vqb2epy5" w:colFirst="0" w:colLast="0"/>
      <w:bookmarkStart w:id="48" w:name="_2qriqtb5refx" w:colFirst="0" w:colLast="0"/>
      <w:bookmarkStart w:id="49" w:name="_mz2o33nb6fpn" w:colFirst="0" w:colLast="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C4E1CC7" w14:textId="77777777" w:rsidR="00DD3CCB" w:rsidRPr="001908EE" w:rsidRDefault="008B1B9E" w:rsidP="00496EC8">
      <w:pPr>
        <w:pStyle w:val="Heading2"/>
        <w:rPr>
          <w:lang w:val="en-US"/>
        </w:rPr>
      </w:pPr>
      <w:hyperlink r:id="rId30" w:history="1">
        <w:bookmarkStart w:id="50" w:name="_Toc19177063"/>
        <w:r w:rsidR="00DD3CCB" w:rsidRPr="001908EE">
          <w:rPr>
            <w:rStyle w:val="Hyperlink"/>
            <w:color w:val="2E7E9D" w:themeColor="accent2" w:themeShade="BF"/>
            <w:lang w:val="en-US"/>
          </w:rPr>
          <w:t>Windsor High School</w:t>
        </w:r>
      </w:hyperlink>
      <w:r w:rsidR="00530A0A" w:rsidRPr="001908EE">
        <w:rPr>
          <w:rStyle w:val="Hyperlink"/>
          <w:color w:val="2E7E9D" w:themeColor="accent2" w:themeShade="BF"/>
          <w:lang w:val="en-US"/>
        </w:rPr>
        <w:t>, Connecticut (Level 4)</w:t>
      </w:r>
      <w:bookmarkEnd w:id="50"/>
    </w:p>
    <w:p w14:paraId="6BB2E804" w14:textId="4A98EAF9" w:rsidR="00DD3CCB" w:rsidRPr="001908EE" w:rsidRDefault="00DD3CCB" w:rsidP="00DD3CCB">
      <w:pPr>
        <w:rPr>
          <w:lang w:val="en-US"/>
        </w:rPr>
      </w:pPr>
      <w:r w:rsidRPr="001908EE">
        <w:rPr>
          <w:lang w:val="en-US"/>
        </w:rPr>
        <w:t>Windsor High School decided to implement Edgenuity courses with special education and school-phobic students. Special education and school-phobic students use Edgenuity courses five to ten hours a week as part of their foundational curriculum. Depending on the student’s individual education program, students may use Edgenuity’s math, language arts, or elective courses in the classroom or computer lab during a 60-minute period. After one year of implementing Edgenuity courses, the graduation rate of special education students in the program increased from 64 percent in 2014 to 86 percent in 2015.</w:t>
      </w:r>
    </w:p>
    <w:p w14:paraId="497BC69B" w14:textId="77777777" w:rsidR="00BE3BFF" w:rsidRPr="001908EE" w:rsidRDefault="00BE3BFF" w:rsidP="00DD3CCB">
      <w:pPr>
        <w:rPr>
          <w:lang w:val="en-US"/>
        </w:rPr>
      </w:pPr>
    </w:p>
    <w:p w14:paraId="2C7F0A8B" w14:textId="5F7F2008" w:rsidR="00BE3BFF" w:rsidRPr="001908EE" w:rsidRDefault="00BE3BFF" w:rsidP="00DD3CCB">
      <w:pPr>
        <w:rPr>
          <w:lang w:val="en-US"/>
        </w:rPr>
      </w:pPr>
      <w:r w:rsidRPr="001908EE">
        <w:rPr>
          <w:b/>
          <w:lang w:val="en-US"/>
        </w:rPr>
        <w:t xml:space="preserve">Figure </w:t>
      </w:r>
      <w:r w:rsidR="00933A14" w:rsidRPr="001908EE">
        <w:rPr>
          <w:b/>
          <w:lang w:val="en-US"/>
        </w:rPr>
        <w:t>2</w:t>
      </w:r>
      <w:r w:rsidR="002F18D2">
        <w:rPr>
          <w:b/>
          <w:lang w:val="en-US"/>
        </w:rPr>
        <w:t>2</w:t>
      </w:r>
      <w:r w:rsidRPr="001908EE">
        <w:rPr>
          <w:b/>
          <w:lang w:val="en-US"/>
        </w:rPr>
        <w:t>. Windsor High School Special Education Students</w:t>
      </w:r>
      <w:r w:rsidRPr="001908EE">
        <w:rPr>
          <w:lang w:val="en-US"/>
        </w:rPr>
        <w:br/>
        <w:t>Graduation Rate</w:t>
      </w:r>
      <w:r w:rsidR="00A4240F" w:rsidRPr="001908EE">
        <w:rPr>
          <w:lang w:val="en-US"/>
        </w:rPr>
        <w:t>s, 201</w:t>
      </w:r>
      <w:r w:rsidR="00933A14" w:rsidRPr="001908EE">
        <w:rPr>
          <w:lang w:val="en-US"/>
        </w:rPr>
        <w:t xml:space="preserve">4 </w:t>
      </w:r>
      <w:r w:rsidR="00A4240F" w:rsidRPr="001908EE">
        <w:rPr>
          <w:lang w:val="en-US"/>
        </w:rPr>
        <w:t>and 2015</w:t>
      </w:r>
    </w:p>
    <w:p w14:paraId="214B9E77" w14:textId="41B82F1B" w:rsidR="00B539E3" w:rsidRPr="001908EE" w:rsidRDefault="00DD3CCB">
      <w:pPr>
        <w:rPr>
          <w:b/>
          <w:color w:val="2E3192" w:themeColor="text2"/>
          <w:lang w:val="en-US"/>
        </w:rPr>
      </w:pPr>
      <w:r w:rsidRPr="001908EE">
        <w:rPr>
          <w:noProof/>
          <w:lang w:val="en-US"/>
        </w:rPr>
        <w:drawing>
          <wp:inline distT="0" distB="0" distL="0" distR="0" wp14:anchorId="108879C6" wp14:editId="4FADBDFB">
            <wp:extent cx="3695700" cy="2495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Start w:id="51" w:name="_Toc525195428"/>
      <w:bookmarkEnd w:id="51"/>
    </w:p>
    <w:sectPr w:rsidR="00B539E3" w:rsidRPr="001908EE" w:rsidSect="00F120A0">
      <w:headerReference w:type="even" r:id="rId32"/>
      <w:headerReference w:type="default" r:id="rId33"/>
      <w:footerReference w:type="default" r:id="rId34"/>
      <w:headerReference w:type="first" r:id="rId35"/>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9BAB" w14:textId="77777777" w:rsidR="008B1B9E" w:rsidRDefault="008B1B9E" w:rsidP="00F120A0">
      <w:pPr>
        <w:spacing w:line="240" w:lineRule="auto"/>
      </w:pPr>
      <w:r>
        <w:separator/>
      </w:r>
    </w:p>
  </w:endnote>
  <w:endnote w:type="continuationSeparator" w:id="0">
    <w:p w14:paraId="4795A5BA" w14:textId="77777777" w:rsidR="008B1B9E" w:rsidRDefault="008B1B9E" w:rsidP="00F12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5AF2" w14:textId="62F6A525" w:rsidR="00C17167" w:rsidRPr="00C17167" w:rsidRDefault="00C17167" w:rsidP="00C17167">
    <w:pPr>
      <w:pStyle w:val="Footer"/>
      <w:jc w:val="right"/>
      <w:rPr>
        <w:rFonts w:ascii="Arial Narrow" w:hAnsi="Arial Narrow"/>
      </w:rPr>
    </w:pPr>
    <w:r w:rsidRPr="00C17167">
      <w:rPr>
        <w:rFonts w:ascii="Arial Narrow" w:hAnsi="Arial Narrow"/>
        <w:color w:val="7F7F7F" w:themeColor="background1" w:themeShade="7F"/>
        <w:spacing w:val="60"/>
      </w:rPr>
      <w:t>Page</w:t>
    </w:r>
    <w:r w:rsidRPr="00C17167">
      <w:rPr>
        <w:rFonts w:ascii="Arial Narrow" w:hAnsi="Arial Narrow"/>
      </w:rPr>
      <w:t xml:space="preserve"> | </w:t>
    </w:r>
    <w:r w:rsidRPr="00C17167">
      <w:rPr>
        <w:rFonts w:ascii="Arial Narrow" w:hAnsi="Arial Narrow"/>
      </w:rPr>
      <w:fldChar w:fldCharType="begin"/>
    </w:r>
    <w:r w:rsidRPr="00C17167">
      <w:rPr>
        <w:rFonts w:ascii="Arial Narrow" w:hAnsi="Arial Narrow"/>
      </w:rPr>
      <w:instrText xml:space="preserve"> PAGE   \* MERGEFORMAT </w:instrText>
    </w:r>
    <w:r w:rsidRPr="00C17167">
      <w:rPr>
        <w:rFonts w:ascii="Arial Narrow" w:hAnsi="Arial Narrow"/>
      </w:rPr>
      <w:fldChar w:fldCharType="separate"/>
    </w:r>
    <w:r w:rsidRPr="00C17167">
      <w:rPr>
        <w:rFonts w:ascii="Arial Narrow" w:hAnsi="Arial Narrow"/>
        <w:bCs/>
        <w:noProof/>
      </w:rPr>
      <w:t>1</w:t>
    </w:r>
    <w:r w:rsidRPr="00C17167">
      <w:rPr>
        <w:rFonts w:ascii="Arial Narrow" w:hAnsi="Arial Narrow"/>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0F8F" w14:textId="77777777" w:rsidR="008B1B9E" w:rsidRDefault="008B1B9E" w:rsidP="00F120A0">
      <w:pPr>
        <w:spacing w:line="240" w:lineRule="auto"/>
      </w:pPr>
      <w:r>
        <w:separator/>
      </w:r>
    </w:p>
  </w:footnote>
  <w:footnote w:type="continuationSeparator" w:id="0">
    <w:p w14:paraId="35414CCE" w14:textId="77777777" w:rsidR="008B1B9E" w:rsidRDefault="008B1B9E" w:rsidP="00F120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217B" w14:textId="77777777" w:rsidR="00FE4CFA" w:rsidRDefault="00FE4CFA" w:rsidP="008B3E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C321F" w14:textId="77777777" w:rsidR="00FE4CFA" w:rsidRDefault="00FE4CFA" w:rsidP="00C171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2B3" w14:textId="77777777" w:rsidR="00FE4CFA" w:rsidRDefault="00FE4CFA" w:rsidP="00C1716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094C" w14:textId="77777777" w:rsidR="00FE4CFA" w:rsidRDefault="00FE4CFA">
    <w:pPr>
      <w:pStyle w:val="Header"/>
    </w:pPr>
    <w:r>
      <w:rPr>
        <w:noProof/>
        <w:lang w:val="en-US"/>
      </w:rPr>
      <w:drawing>
        <wp:anchor distT="0" distB="0" distL="114300" distR="114300" simplePos="0" relativeHeight="251658240" behindDoc="1" locked="0" layoutInCell="1" allowOverlap="1" wp14:anchorId="7225100F" wp14:editId="12E5F7FA">
          <wp:simplePos x="0" y="0"/>
          <wp:positionH relativeFrom="column">
            <wp:posOffset>4981575</wp:posOffset>
          </wp:positionH>
          <wp:positionV relativeFrom="paragraph">
            <wp:posOffset>152400</wp:posOffset>
          </wp:positionV>
          <wp:extent cx="1828800" cy="38133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d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13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8C4"/>
    <w:multiLevelType w:val="hybridMultilevel"/>
    <w:tmpl w:val="787CAA32"/>
    <w:lvl w:ilvl="0" w:tplc="A326553C">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615A0"/>
    <w:multiLevelType w:val="hybridMultilevel"/>
    <w:tmpl w:val="AF82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9F2123"/>
    <w:multiLevelType w:val="hybridMultilevel"/>
    <w:tmpl w:val="F6B0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EC"/>
    <w:rsid w:val="000131A8"/>
    <w:rsid w:val="00040DD5"/>
    <w:rsid w:val="00044C34"/>
    <w:rsid w:val="0004503B"/>
    <w:rsid w:val="000469CE"/>
    <w:rsid w:val="00094D95"/>
    <w:rsid w:val="00097D76"/>
    <w:rsid w:val="000B2F11"/>
    <w:rsid w:val="000B4542"/>
    <w:rsid w:val="000B60B4"/>
    <w:rsid w:val="000D2949"/>
    <w:rsid w:val="000D4861"/>
    <w:rsid w:val="000E3701"/>
    <w:rsid w:val="00100AA8"/>
    <w:rsid w:val="001065CC"/>
    <w:rsid w:val="00115E60"/>
    <w:rsid w:val="00123C9F"/>
    <w:rsid w:val="001301AE"/>
    <w:rsid w:val="001336DA"/>
    <w:rsid w:val="00133CEA"/>
    <w:rsid w:val="00137017"/>
    <w:rsid w:val="00146321"/>
    <w:rsid w:val="001705BF"/>
    <w:rsid w:val="001874A5"/>
    <w:rsid w:val="001908EE"/>
    <w:rsid w:val="0019382D"/>
    <w:rsid w:val="00195077"/>
    <w:rsid w:val="001B02A0"/>
    <w:rsid w:val="001B1DB4"/>
    <w:rsid w:val="001C4572"/>
    <w:rsid w:val="001C7F79"/>
    <w:rsid w:val="001D781E"/>
    <w:rsid w:val="001E0E72"/>
    <w:rsid w:val="001E7C53"/>
    <w:rsid w:val="001F1CA7"/>
    <w:rsid w:val="00204B32"/>
    <w:rsid w:val="002051C8"/>
    <w:rsid w:val="00214254"/>
    <w:rsid w:val="00234581"/>
    <w:rsid w:val="00246AA3"/>
    <w:rsid w:val="00266710"/>
    <w:rsid w:val="002873AF"/>
    <w:rsid w:val="00292E23"/>
    <w:rsid w:val="0029349E"/>
    <w:rsid w:val="00295169"/>
    <w:rsid w:val="002A7E55"/>
    <w:rsid w:val="002E0714"/>
    <w:rsid w:val="002E3560"/>
    <w:rsid w:val="002F18D2"/>
    <w:rsid w:val="00304FFB"/>
    <w:rsid w:val="003316F8"/>
    <w:rsid w:val="00331733"/>
    <w:rsid w:val="00337B28"/>
    <w:rsid w:val="003521D1"/>
    <w:rsid w:val="00362237"/>
    <w:rsid w:val="0037329A"/>
    <w:rsid w:val="00374BEA"/>
    <w:rsid w:val="003767EB"/>
    <w:rsid w:val="003778F0"/>
    <w:rsid w:val="00381CEC"/>
    <w:rsid w:val="0039126B"/>
    <w:rsid w:val="003B0F86"/>
    <w:rsid w:val="003D73B2"/>
    <w:rsid w:val="003E3D4C"/>
    <w:rsid w:val="00401285"/>
    <w:rsid w:val="0040411F"/>
    <w:rsid w:val="004076DB"/>
    <w:rsid w:val="00410224"/>
    <w:rsid w:val="00415D0D"/>
    <w:rsid w:val="00416A36"/>
    <w:rsid w:val="00447AA7"/>
    <w:rsid w:val="00452FD5"/>
    <w:rsid w:val="00466881"/>
    <w:rsid w:val="00496EC8"/>
    <w:rsid w:val="004A009F"/>
    <w:rsid w:val="004A142A"/>
    <w:rsid w:val="004A35EA"/>
    <w:rsid w:val="004A3FA6"/>
    <w:rsid w:val="004A64AB"/>
    <w:rsid w:val="004B667C"/>
    <w:rsid w:val="004C21C9"/>
    <w:rsid w:val="004E2CD1"/>
    <w:rsid w:val="00530A0A"/>
    <w:rsid w:val="0053778A"/>
    <w:rsid w:val="005378EA"/>
    <w:rsid w:val="0057457E"/>
    <w:rsid w:val="005871AC"/>
    <w:rsid w:val="005A00FF"/>
    <w:rsid w:val="005C5613"/>
    <w:rsid w:val="005D53FF"/>
    <w:rsid w:val="005E4679"/>
    <w:rsid w:val="005E6974"/>
    <w:rsid w:val="0060543D"/>
    <w:rsid w:val="00607B8E"/>
    <w:rsid w:val="00635979"/>
    <w:rsid w:val="00640064"/>
    <w:rsid w:val="00643F91"/>
    <w:rsid w:val="0065318D"/>
    <w:rsid w:val="006662ED"/>
    <w:rsid w:val="006743C5"/>
    <w:rsid w:val="00674C61"/>
    <w:rsid w:val="00681A50"/>
    <w:rsid w:val="00691FDC"/>
    <w:rsid w:val="006A1DE8"/>
    <w:rsid w:val="006A3234"/>
    <w:rsid w:val="006A48FB"/>
    <w:rsid w:val="006B071A"/>
    <w:rsid w:val="006B70E5"/>
    <w:rsid w:val="006C7FD0"/>
    <w:rsid w:val="006D063F"/>
    <w:rsid w:val="006F2AA3"/>
    <w:rsid w:val="007058FB"/>
    <w:rsid w:val="00712A90"/>
    <w:rsid w:val="00717FDF"/>
    <w:rsid w:val="00722E97"/>
    <w:rsid w:val="0072584D"/>
    <w:rsid w:val="00730042"/>
    <w:rsid w:val="00733F51"/>
    <w:rsid w:val="00744777"/>
    <w:rsid w:val="00751498"/>
    <w:rsid w:val="0075618E"/>
    <w:rsid w:val="00760FF6"/>
    <w:rsid w:val="00761C76"/>
    <w:rsid w:val="0076358F"/>
    <w:rsid w:val="00783170"/>
    <w:rsid w:val="00783EBF"/>
    <w:rsid w:val="00787BA1"/>
    <w:rsid w:val="00791ABE"/>
    <w:rsid w:val="007D4D12"/>
    <w:rsid w:val="007D7BF7"/>
    <w:rsid w:val="007F6F9F"/>
    <w:rsid w:val="00814453"/>
    <w:rsid w:val="00820A27"/>
    <w:rsid w:val="00831795"/>
    <w:rsid w:val="0083253B"/>
    <w:rsid w:val="008612B2"/>
    <w:rsid w:val="00864ED4"/>
    <w:rsid w:val="008819BB"/>
    <w:rsid w:val="008A6FF2"/>
    <w:rsid w:val="008B1B9E"/>
    <w:rsid w:val="008B3EE6"/>
    <w:rsid w:val="008C164B"/>
    <w:rsid w:val="008D2785"/>
    <w:rsid w:val="008D5294"/>
    <w:rsid w:val="008D6672"/>
    <w:rsid w:val="009070FF"/>
    <w:rsid w:val="009114CE"/>
    <w:rsid w:val="009168AD"/>
    <w:rsid w:val="00922F56"/>
    <w:rsid w:val="00926785"/>
    <w:rsid w:val="009310D9"/>
    <w:rsid w:val="00933A14"/>
    <w:rsid w:val="00934B0C"/>
    <w:rsid w:val="00937580"/>
    <w:rsid w:val="00951D21"/>
    <w:rsid w:val="00974F93"/>
    <w:rsid w:val="0099326F"/>
    <w:rsid w:val="009B4159"/>
    <w:rsid w:val="009B637D"/>
    <w:rsid w:val="009B6530"/>
    <w:rsid w:val="00A0496E"/>
    <w:rsid w:val="00A13B1E"/>
    <w:rsid w:val="00A301A7"/>
    <w:rsid w:val="00A33ADF"/>
    <w:rsid w:val="00A4130B"/>
    <w:rsid w:val="00A4240F"/>
    <w:rsid w:val="00A5262F"/>
    <w:rsid w:val="00A606EC"/>
    <w:rsid w:val="00A734CF"/>
    <w:rsid w:val="00A92CC0"/>
    <w:rsid w:val="00A9386B"/>
    <w:rsid w:val="00AA50FA"/>
    <w:rsid w:val="00AA6AFE"/>
    <w:rsid w:val="00AC57A7"/>
    <w:rsid w:val="00AC699F"/>
    <w:rsid w:val="00AD01F1"/>
    <w:rsid w:val="00AD61A7"/>
    <w:rsid w:val="00B017A1"/>
    <w:rsid w:val="00B03C1F"/>
    <w:rsid w:val="00B07EC6"/>
    <w:rsid w:val="00B213CC"/>
    <w:rsid w:val="00B24162"/>
    <w:rsid w:val="00B539E3"/>
    <w:rsid w:val="00B610EE"/>
    <w:rsid w:val="00B61AC5"/>
    <w:rsid w:val="00B6304B"/>
    <w:rsid w:val="00B6727D"/>
    <w:rsid w:val="00B8022B"/>
    <w:rsid w:val="00B835EB"/>
    <w:rsid w:val="00B91F58"/>
    <w:rsid w:val="00B96E6D"/>
    <w:rsid w:val="00BA55D6"/>
    <w:rsid w:val="00BA5E95"/>
    <w:rsid w:val="00BB55C4"/>
    <w:rsid w:val="00BB6B0C"/>
    <w:rsid w:val="00BC1529"/>
    <w:rsid w:val="00BE3BFF"/>
    <w:rsid w:val="00C042EA"/>
    <w:rsid w:val="00C0540F"/>
    <w:rsid w:val="00C05B45"/>
    <w:rsid w:val="00C0663A"/>
    <w:rsid w:val="00C06B14"/>
    <w:rsid w:val="00C07669"/>
    <w:rsid w:val="00C167CF"/>
    <w:rsid w:val="00C17167"/>
    <w:rsid w:val="00C34D90"/>
    <w:rsid w:val="00C76F73"/>
    <w:rsid w:val="00C82CEE"/>
    <w:rsid w:val="00C86557"/>
    <w:rsid w:val="00CA1D58"/>
    <w:rsid w:val="00CE3C9F"/>
    <w:rsid w:val="00CE4A28"/>
    <w:rsid w:val="00CE722C"/>
    <w:rsid w:val="00D11FD3"/>
    <w:rsid w:val="00D1716E"/>
    <w:rsid w:val="00D17ACC"/>
    <w:rsid w:val="00D26AA1"/>
    <w:rsid w:val="00D30995"/>
    <w:rsid w:val="00D53705"/>
    <w:rsid w:val="00D707D4"/>
    <w:rsid w:val="00D72361"/>
    <w:rsid w:val="00D94DEB"/>
    <w:rsid w:val="00DA51AC"/>
    <w:rsid w:val="00DA6977"/>
    <w:rsid w:val="00DC755F"/>
    <w:rsid w:val="00DD3CCB"/>
    <w:rsid w:val="00DD4059"/>
    <w:rsid w:val="00DE3BCD"/>
    <w:rsid w:val="00E1565B"/>
    <w:rsid w:val="00E22013"/>
    <w:rsid w:val="00E3438C"/>
    <w:rsid w:val="00E36033"/>
    <w:rsid w:val="00E42F65"/>
    <w:rsid w:val="00E43B6A"/>
    <w:rsid w:val="00E60687"/>
    <w:rsid w:val="00E61B04"/>
    <w:rsid w:val="00E978AD"/>
    <w:rsid w:val="00EA3EBA"/>
    <w:rsid w:val="00EC3773"/>
    <w:rsid w:val="00ED7233"/>
    <w:rsid w:val="00EF055E"/>
    <w:rsid w:val="00F120A0"/>
    <w:rsid w:val="00F27EBD"/>
    <w:rsid w:val="00F33983"/>
    <w:rsid w:val="00F367B7"/>
    <w:rsid w:val="00F441B1"/>
    <w:rsid w:val="00F6294B"/>
    <w:rsid w:val="00F63178"/>
    <w:rsid w:val="00F639B0"/>
    <w:rsid w:val="00F74DD5"/>
    <w:rsid w:val="00F77A6F"/>
    <w:rsid w:val="00F8058B"/>
    <w:rsid w:val="00F91A82"/>
    <w:rsid w:val="00FA0CE3"/>
    <w:rsid w:val="00FA756A"/>
    <w:rsid w:val="00FB2FE9"/>
    <w:rsid w:val="00FC3180"/>
    <w:rsid w:val="00FD158F"/>
    <w:rsid w:val="00FD4EBE"/>
    <w:rsid w:val="00FD5BE5"/>
    <w:rsid w:val="00FD6056"/>
    <w:rsid w:val="00FE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6B2DC"/>
  <w15:docId w15:val="{D1BE87BC-4260-4BDC-A42F-FE92C64A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560"/>
  </w:style>
  <w:style w:type="paragraph" w:styleId="Heading1">
    <w:name w:val="heading 1"/>
    <w:basedOn w:val="Normal"/>
    <w:next w:val="Normal"/>
    <w:qFormat/>
    <w:rsid w:val="003316F8"/>
    <w:pPr>
      <w:keepNext/>
      <w:keepLines/>
      <w:spacing w:before="400" w:after="120"/>
      <w:outlineLvl w:val="0"/>
    </w:pPr>
    <w:rPr>
      <w:b/>
      <w:color w:val="2E3192" w:themeColor="text2"/>
      <w:sz w:val="28"/>
      <w:szCs w:val="40"/>
    </w:rPr>
  </w:style>
  <w:style w:type="paragraph" w:styleId="Heading2">
    <w:name w:val="heading 2"/>
    <w:basedOn w:val="Normal"/>
    <w:next w:val="Normal"/>
    <w:qFormat/>
    <w:rsid w:val="003316F8"/>
    <w:pPr>
      <w:keepNext/>
      <w:keepLines/>
      <w:spacing w:before="120" w:after="120"/>
      <w:outlineLvl w:val="1"/>
    </w:pPr>
    <w:rPr>
      <w:b/>
      <w:color w:val="2E7E9D" w:themeColor="accent2" w:themeShade="BF"/>
      <w:sz w:val="24"/>
      <w:szCs w:val="32"/>
      <w:u w:val="single"/>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64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64AB"/>
    <w:rPr>
      <w:b/>
      <w:bCs/>
    </w:rPr>
  </w:style>
  <w:style w:type="character" w:customStyle="1" w:styleId="CommentSubjectChar">
    <w:name w:val="Comment Subject Char"/>
    <w:basedOn w:val="CommentTextChar"/>
    <w:link w:val="CommentSubject"/>
    <w:uiPriority w:val="99"/>
    <w:semiHidden/>
    <w:rsid w:val="004A64AB"/>
    <w:rPr>
      <w:b/>
      <w:bCs/>
      <w:sz w:val="20"/>
      <w:szCs w:val="20"/>
    </w:rPr>
  </w:style>
  <w:style w:type="character" w:styleId="Hyperlink">
    <w:name w:val="Hyperlink"/>
    <w:basedOn w:val="DefaultParagraphFont"/>
    <w:uiPriority w:val="99"/>
    <w:unhideWhenUsed/>
    <w:rsid w:val="00204B32"/>
    <w:rPr>
      <w:color w:val="47A5C9" w:themeColor="hyperlink"/>
      <w:u w:val="single"/>
    </w:rPr>
  </w:style>
  <w:style w:type="paragraph" w:styleId="NoSpacing">
    <w:name w:val="No Spacing"/>
    <w:basedOn w:val="Normal"/>
    <w:uiPriority w:val="1"/>
    <w:qFormat/>
    <w:rsid w:val="00674C61"/>
    <w:pPr>
      <w:contextualSpacing w:val="0"/>
    </w:pPr>
  </w:style>
  <w:style w:type="character" w:styleId="FollowedHyperlink">
    <w:name w:val="FollowedHyperlink"/>
    <w:basedOn w:val="DefaultParagraphFont"/>
    <w:uiPriority w:val="99"/>
    <w:semiHidden/>
    <w:unhideWhenUsed/>
    <w:rsid w:val="00722E97"/>
    <w:rPr>
      <w:color w:val="EEECE1" w:themeColor="followedHyperlink"/>
      <w:u w:val="single"/>
    </w:rPr>
  </w:style>
  <w:style w:type="paragraph" w:styleId="ListParagraph">
    <w:name w:val="List Paragraph"/>
    <w:basedOn w:val="Normal"/>
    <w:uiPriority w:val="34"/>
    <w:qFormat/>
    <w:rsid w:val="00BB55C4"/>
    <w:pPr>
      <w:ind w:left="720"/>
    </w:pPr>
  </w:style>
  <w:style w:type="table" w:styleId="TableGrid">
    <w:name w:val="Table Grid"/>
    <w:basedOn w:val="TableNormal"/>
    <w:uiPriority w:val="39"/>
    <w:rsid w:val="00BB55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92E23"/>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292E23"/>
    <w:pPr>
      <w:spacing w:before="120"/>
      <w:ind w:left="220"/>
    </w:pPr>
    <w:rPr>
      <w:rFonts w:asciiTheme="minorHAnsi" w:hAnsiTheme="minorHAnsi"/>
      <w:i/>
      <w:iCs/>
      <w:sz w:val="20"/>
      <w:szCs w:val="20"/>
    </w:rPr>
  </w:style>
  <w:style w:type="paragraph" w:styleId="TOC3">
    <w:name w:val="toc 3"/>
    <w:basedOn w:val="Normal"/>
    <w:next w:val="Normal"/>
    <w:autoRedefine/>
    <w:uiPriority w:val="39"/>
    <w:unhideWhenUsed/>
    <w:rsid w:val="00292E23"/>
    <w:pPr>
      <w:ind w:left="440"/>
    </w:pPr>
    <w:rPr>
      <w:rFonts w:asciiTheme="minorHAnsi" w:hAnsiTheme="minorHAnsi"/>
      <w:sz w:val="20"/>
      <w:szCs w:val="20"/>
    </w:rPr>
  </w:style>
  <w:style w:type="paragraph" w:styleId="TOC4">
    <w:name w:val="toc 4"/>
    <w:basedOn w:val="Normal"/>
    <w:next w:val="Normal"/>
    <w:autoRedefine/>
    <w:uiPriority w:val="39"/>
    <w:unhideWhenUsed/>
    <w:rsid w:val="00292E23"/>
    <w:pPr>
      <w:ind w:left="660"/>
    </w:pPr>
    <w:rPr>
      <w:rFonts w:asciiTheme="minorHAnsi" w:hAnsiTheme="minorHAnsi"/>
      <w:sz w:val="20"/>
      <w:szCs w:val="20"/>
    </w:rPr>
  </w:style>
  <w:style w:type="paragraph" w:styleId="TOC5">
    <w:name w:val="toc 5"/>
    <w:basedOn w:val="Normal"/>
    <w:next w:val="Normal"/>
    <w:autoRedefine/>
    <w:uiPriority w:val="39"/>
    <w:unhideWhenUsed/>
    <w:rsid w:val="00292E23"/>
    <w:pPr>
      <w:ind w:left="880"/>
    </w:pPr>
    <w:rPr>
      <w:rFonts w:asciiTheme="minorHAnsi" w:hAnsiTheme="minorHAnsi"/>
      <w:sz w:val="20"/>
      <w:szCs w:val="20"/>
    </w:rPr>
  </w:style>
  <w:style w:type="paragraph" w:styleId="TOC6">
    <w:name w:val="toc 6"/>
    <w:basedOn w:val="Normal"/>
    <w:next w:val="Normal"/>
    <w:autoRedefine/>
    <w:uiPriority w:val="39"/>
    <w:unhideWhenUsed/>
    <w:rsid w:val="00292E23"/>
    <w:pPr>
      <w:ind w:left="1100"/>
    </w:pPr>
    <w:rPr>
      <w:rFonts w:asciiTheme="minorHAnsi" w:hAnsiTheme="minorHAnsi"/>
      <w:sz w:val="20"/>
      <w:szCs w:val="20"/>
    </w:rPr>
  </w:style>
  <w:style w:type="paragraph" w:styleId="TOC7">
    <w:name w:val="toc 7"/>
    <w:basedOn w:val="Normal"/>
    <w:next w:val="Normal"/>
    <w:autoRedefine/>
    <w:uiPriority w:val="39"/>
    <w:unhideWhenUsed/>
    <w:rsid w:val="00292E23"/>
    <w:pPr>
      <w:ind w:left="1320"/>
    </w:pPr>
    <w:rPr>
      <w:rFonts w:asciiTheme="minorHAnsi" w:hAnsiTheme="minorHAnsi"/>
      <w:sz w:val="20"/>
      <w:szCs w:val="20"/>
    </w:rPr>
  </w:style>
  <w:style w:type="paragraph" w:styleId="TOC8">
    <w:name w:val="toc 8"/>
    <w:basedOn w:val="Normal"/>
    <w:next w:val="Normal"/>
    <w:autoRedefine/>
    <w:uiPriority w:val="39"/>
    <w:unhideWhenUsed/>
    <w:rsid w:val="00292E23"/>
    <w:pPr>
      <w:ind w:left="1540"/>
    </w:pPr>
    <w:rPr>
      <w:rFonts w:asciiTheme="minorHAnsi" w:hAnsiTheme="minorHAnsi"/>
      <w:sz w:val="20"/>
      <w:szCs w:val="20"/>
    </w:rPr>
  </w:style>
  <w:style w:type="paragraph" w:styleId="TOC9">
    <w:name w:val="toc 9"/>
    <w:basedOn w:val="Normal"/>
    <w:next w:val="Normal"/>
    <w:autoRedefine/>
    <w:uiPriority w:val="39"/>
    <w:unhideWhenUsed/>
    <w:rsid w:val="00292E23"/>
    <w:pPr>
      <w:ind w:left="1760"/>
    </w:pPr>
    <w:rPr>
      <w:rFonts w:asciiTheme="minorHAnsi" w:hAnsiTheme="minorHAnsi"/>
      <w:sz w:val="20"/>
      <w:szCs w:val="20"/>
    </w:rPr>
  </w:style>
  <w:style w:type="paragraph" w:styleId="Header">
    <w:name w:val="header"/>
    <w:basedOn w:val="Normal"/>
    <w:link w:val="HeaderChar"/>
    <w:uiPriority w:val="99"/>
    <w:unhideWhenUsed/>
    <w:rsid w:val="00F120A0"/>
    <w:pPr>
      <w:tabs>
        <w:tab w:val="center" w:pos="4680"/>
        <w:tab w:val="right" w:pos="9360"/>
      </w:tabs>
      <w:spacing w:line="240" w:lineRule="auto"/>
    </w:pPr>
  </w:style>
  <w:style w:type="character" w:customStyle="1" w:styleId="HeaderChar">
    <w:name w:val="Header Char"/>
    <w:basedOn w:val="DefaultParagraphFont"/>
    <w:link w:val="Header"/>
    <w:uiPriority w:val="99"/>
    <w:rsid w:val="00F120A0"/>
  </w:style>
  <w:style w:type="paragraph" w:styleId="Footer">
    <w:name w:val="footer"/>
    <w:basedOn w:val="Normal"/>
    <w:link w:val="FooterChar"/>
    <w:uiPriority w:val="99"/>
    <w:unhideWhenUsed/>
    <w:rsid w:val="00F120A0"/>
    <w:pPr>
      <w:tabs>
        <w:tab w:val="center" w:pos="4680"/>
        <w:tab w:val="right" w:pos="9360"/>
      </w:tabs>
      <w:spacing w:line="240" w:lineRule="auto"/>
    </w:pPr>
  </w:style>
  <w:style w:type="character" w:customStyle="1" w:styleId="FooterChar">
    <w:name w:val="Footer Char"/>
    <w:basedOn w:val="DefaultParagraphFont"/>
    <w:link w:val="Footer"/>
    <w:uiPriority w:val="99"/>
    <w:rsid w:val="00F120A0"/>
  </w:style>
  <w:style w:type="table" w:customStyle="1" w:styleId="ListTable4-Accent41">
    <w:name w:val="List Table 4 - Accent 41"/>
    <w:basedOn w:val="TableNormal"/>
    <w:uiPriority w:val="49"/>
    <w:rsid w:val="00717FDF"/>
    <w:pPr>
      <w:spacing w:line="240" w:lineRule="auto"/>
    </w:pPr>
    <w:tblPr>
      <w:tblStyleRowBandSize w:val="1"/>
      <w:tblStyleColBandSize w:val="1"/>
      <w:tblBorders>
        <w:top w:val="single" w:sz="4" w:space="0" w:color="70B8CA" w:themeColor="accent4" w:themeTint="99"/>
        <w:left w:val="single" w:sz="4" w:space="0" w:color="70B8CA" w:themeColor="accent4" w:themeTint="99"/>
        <w:bottom w:val="single" w:sz="4" w:space="0" w:color="70B8CA" w:themeColor="accent4" w:themeTint="99"/>
        <w:right w:val="single" w:sz="4" w:space="0" w:color="70B8CA" w:themeColor="accent4" w:themeTint="99"/>
        <w:insideH w:val="single" w:sz="4" w:space="0" w:color="70B8CA" w:themeColor="accent4" w:themeTint="99"/>
      </w:tblBorders>
    </w:tblPr>
    <w:tblStylePr w:type="firstRow">
      <w:rPr>
        <w:b/>
        <w:bCs/>
        <w:color w:val="FFFFFF" w:themeColor="background1"/>
      </w:rPr>
      <w:tblPr/>
      <w:tcPr>
        <w:tcBorders>
          <w:top w:val="single" w:sz="4" w:space="0" w:color="327788" w:themeColor="accent4"/>
          <w:left w:val="single" w:sz="4" w:space="0" w:color="327788" w:themeColor="accent4"/>
          <w:bottom w:val="single" w:sz="4" w:space="0" w:color="327788" w:themeColor="accent4"/>
          <w:right w:val="single" w:sz="4" w:space="0" w:color="327788" w:themeColor="accent4"/>
          <w:insideH w:val="nil"/>
        </w:tcBorders>
        <w:shd w:val="clear" w:color="auto" w:fill="327788" w:themeFill="accent4"/>
      </w:tcPr>
    </w:tblStylePr>
    <w:tblStylePr w:type="lastRow">
      <w:rPr>
        <w:b/>
        <w:bCs/>
      </w:rPr>
      <w:tblPr/>
      <w:tcPr>
        <w:tcBorders>
          <w:top w:val="double" w:sz="4" w:space="0" w:color="70B8CA" w:themeColor="accent4" w:themeTint="99"/>
        </w:tcBorders>
      </w:tcPr>
    </w:tblStylePr>
    <w:tblStylePr w:type="firstCol">
      <w:rPr>
        <w:b/>
        <w:bCs/>
      </w:rPr>
    </w:tblStylePr>
    <w:tblStylePr w:type="lastCol">
      <w:rPr>
        <w:b/>
        <w:bCs/>
      </w:rPr>
    </w:tblStylePr>
    <w:tblStylePr w:type="band1Vert">
      <w:tblPr/>
      <w:tcPr>
        <w:shd w:val="clear" w:color="auto" w:fill="CFE7ED" w:themeFill="accent4" w:themeFillTint="33"/>
      </w:tcPr>
    </w:tblStylePr>
    <w:tblStylePr w:type="band1Horz">
      <w:tblPr/>
      <w:tcPr>
        <w:shd w:val="clear" w:color="auto" w:fill="CFE7ED" w:themeFill="accent4" w:themeFillTint="33"/>
      </w:tcPr>
    </w:tblStylePr>
  </w:style>
  <w:style w:type="character" w:styleId="PageNumber">
    <w:name w:val="page number"/>
    <w:basedOn w:val="DefaultParagraphFont"/>
    <w:uiPriority w:val="99"/>
    <w:semiHidden/>
    <w:unhideWhenUsed/>
    <w:rsid w:val="0012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0274">
      <w:bodyDiv w:val="1"/>
      <w:marLeft w:val="0"/>
      <w:marRight w:val="0"/>
      <w:marTop w:val="0"/>
      <w:marBottom w:val="0"/>
      <w:divBdr>
        <w:top w:val="none" w:sz="0" w:space="0" w:color="auto"/>
        <w:left w:val="none" w:sz="0" w:space="0" w:color="auto"/>
        <w:bottom w:val="none" w:sz="0" w:space="0" w:color="auto"/>
        <w:right w:val="none" w:sz="0" w:space="0" w:color="auto"/>
      </w:divBdr>
    </w:div>
    <w:div w:id="314796817">
      <w:bodyDiv w:val="1"/>
      <w:marLeft w:val="0"/>
      <w:marRight w:val="0"/>
      <w:marTop w:val="0"/>
      <w:marBottom w:val="0"/>
      <w:divBdr>
        <w:top w:val="none" w:sz="0" w:space="0" w:color="auto"/>
        <w:left w:val="none" w:sz="0" w:space="0" w:color="auto"/>
        <w:bottom w:val="none" w:sz="0" w:space="0" w:color="auto"/>
        <w:right w:val="none" w:sz="0" w:space="0" w:color="auto"/>
      </w:divBdr>
    </w:div>
    <w:div w:id="343945106">
      <w:bodyDiv w:val="1"/>
      <w:marLeft w:val="0"/>
      <w:marRight w:val="0"/>
      <w:marTop w:val="0"/>
      <w:marBottom w:val="0"/>
      <w:divBdr>
        <w:top w:val="none" w:sz="0" w:space="0" w:color="auto"/>
        <w:left w:val="none" w:sz="0" w:space="0" w:color="auto"/>
        <w:bottom w:val="none" w:sz="0" w:space="0" w:color="auto"/>
        <w:right w:val="none" w:sz="0" w:space="0" w:color="auto"/>
      </w:divBdr>
    </w:div>
    <w:div w:id="413672087">
      <w:bodyDiv w:val="1"/>
      <w:marLeft w:val="0"/>
      <w:marRight w:val="0"/>
      <w:marTop w:val="0"/>
      <w:marBottom w:val="0"/>
      <w:divBdr>
        <w:top w:val="none" w:sz="0" w:space="0" w:color="auto"/>
        <w:left w:val="none" w:sz="0" w:space="0" w:color="auto"/>
        <w:bottom w:val="none" w:sz="0" w:space="0" w:color="auto"/>
        <w:right w:val="none" w:sz="0" w:space="0" w:color="auto"/>
      </w:divBdr>
    </w:div>
    <w:div w:id="563832471">
      <w:bodyDiv w:val="1"/>
      <w:marLeft w:val="0"/>
      <w:marRight w:val="0"/>
      <w:marTop w:val="0"/>
      <w:marBottom w:val="0"/>
      <w:divBdr>
        <w:top w:val="none" w:sz="0" w:space="0" w:color="auto"/>
        <w:left w:val="none" w:sz="0" w:space="0" w:color="auto"/>
        <w:bottom w:val="none" w:sz="0" w:space="0" w:color="auto"/>
        <w:right w:val="none" w:sz="0" w:space="0" w:color="auto"/>
      </w:divBdr>
    </w:div>
    <w:div w:id="643395194">
      <w:bodyDiv w:val="1"/>
      <w:marLeft w:val="0"/>
      <w:marRight w:val="0"/>
      <w:marTop w:val="0"/>
      <w:marBottom w:val="0"/>
      <w:divBdr>
        <w:top w:val="none" w:sz="0" w:space="0" w:color="auto"/>
        <w:left w:val="none" w:sz="0" w:space="0" w:color="auto"/>
        <w:bottom w:val="none" w:sz="0" w:space="0" w:color="auto"/>
        <w:right w:val="none" w:sz="0" w:space="0" w:color="auto"/>
      </w:divBdr>
    </w:div>
    <w:div w:id="673151325">
      <w:bodyDiv w:val="1"/>
      <w:marLeft w:val="0"/>
      <w:marRight w:val="0"/>
      <w:marTop w:val="0"/>
      <w:marBottom w:val="0"/>
      <w:divBdr>
        <w:top w:val="none" w:sz="0" w:space="0" w:color="auto"/>
        <w:left w:val="none" w:sz="0" w:space="0" w:color="auto"/>
        <w:bottom w:val="none" w:sz="0" w:space="0" w:color="auto"/>
        <w:right w:val="none" w:sz="0" w:space="0" w:color="auto"/>
      </w:divBdr>
    </w:div>
    <w:div w:id="698317959">
      <w:bodyDiv w:val="1"/>
      <w:marLeft w:val="0"/>
      <w:marRight w:val="0"/>
      <w:marTop w:val="0"/>
      <w:marBottom w:val="0"/>
      <w:divBdr>
        <w:top w:val="none" w:sz="0" w:space="0" w:color="auto"/>
        <w:left w:val="none" w:sz="0" w:space="0" w:color="auto"/>
        <w:bottom w:val="none" w:sz="0" w:space="0" w:color="auto"/>
        <w:right w:val="none" w:sz="0" w:space="0" w:color="auto"/>
      </w:divBdr>
    </w:div>
    <w:div w:id="1022628106">
      <w:bodyDiv w:val="1"/>
      <w:marLeft w:val="0"/>
      <w:marRight w:val="0"/>
      <w:marTop w:val="0"/>
      <w:marBottom w:val="0"/>
      <w:divBdr>
        <w:top w:val="none" w:sz="0" w:space="0" w:color="auto"/>
        <w:left w:val="none" w:sz="0" w:space="0" w:color="auto"/>
        <w:bottom w:val="none" w:sz="0" w:space="0" w:color="auto"/>
        <w:right w:val="none" w:sz="0" w:space="0" w:color="auto"/>
      </w:divBdr>
    </w:div>
    <w:div w:id="1072195698">
      <w:bodyDiv w:val="1"/>
      <w:marLeft w:val="0"/>
      <w:marRight w:val="0"/>
      <w:marTop w:val="0"/>
      <w:marBottom w:val="0"/>
      <w:divBdr>
        <w:top w:val="none" w:sz="0" w:space="0" w:color="auto"/>
        <w:left w:val="none" w:sz="0" w:space="0" w:color="auto"/>
        <w:bottom w:val="none" w:sz="0" w:space="0" w:color="auto"/>
        <w:right w:val="none" w:sz="0" w:space="0" w:color="auto"/>
      </w:divBdr>
    </w:div>
    <w:div w:id="1276061535">
      <w:bodyDiv w:val="1"/>
      <w:marLeft w:val="0"/>
      <w:marRight w:val="0"/>
      <w:marTop w:val="0"/>
      <w:marBottom w:val="0"/>
      <w:divBdr>
        <w:top w:val="none" w:sz="0" w:space="0" w:color="auto"/>
        <w:left w:val="none" w:sz="0" w:space="0" w:color="auto"/>
        <w:bottom w:val="none" w:sz="0" w:space="0" w:color="auto"/>
        <w:right w:val="none" w:sz="0" w:space="0" w:color="auto"/>
      </w:divBdr>
    </w:div>
    <w:div w:id="1667630109">
      <w:bodyDiv w:val="1"/>
      <w:marLeft w:val="0"/>
      <w:marRight w:val="0"/>
      <w:marTop w:val="0"/>
      <w:marBottom w:val="0"/>
      <w:divBdr>
        <w:top w:val="none" w:sz="0" w:space="0" w:color="auto"/>
        <w:left w:val="none" w:sz="0" w:space="0" w:color="auto"/>
        <w:bottom w:val="none" w:sz="0" w:space="0" w:color="auto"/>
        <w:right w:val="none" w:sz="0" w:space="0" w:color="auto"/>
      </w:divBdr>
    </w:div>
    <w:div w:id="1722821045">
      <w:bodyDiv w:val="1"/>
      <w:marLeft w:val="0"/>
      <w:marRight w:val="0"/>
      <w:marTop w:val="0"/>
      <w:marBottom w:val="0"/>
      <w:divBdr>
        <w:top w:val="none" w:sz="0" w:space="0" w:color="auto"/>
        <w:left w:val="none" w:sz="0" w:space="0" w:color="auto"/>
        <w:bottom w:val="none" w:sz="0" w:space="0" w:color="auto"/>
        <w:right w:val="none" w:sz="0" w:space="0" w:color="auto"/>
      </w:divBdr>
    </w:div>
    <w:div w:id="1900506618">
      <w:bodyDiv w:val="1"/>
      <w:marLeft w:val="0"/>
      <w:marRight w:val="0"/>
      <w:marTop w:val="0"/>
      <w:marBottom w:val="0"/>
      <w:divBdr>
        <w:top w:val="none" w:sz="0" w:space="0" w:color="auto"/>
        <w:left w:val="none" w:sz="0" w:space="0" w:color="auto"/>
        <w:bottom w:val="none" w:sz="0" w:space="0" w:color="auto"/>
        <w:right w:val="none" w:sz="0" w:space="0" w:color="auto"/>
      </w:divBdr>
    </w:div>
    <w:div w:id="1935285657">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chart" Target="charts/chart13.xml"/><Relationship Id="rId21" Type="http://schemas.openxmlformats.org/officeDocument/2006/relationships/hyperlink" Target="https://www.edgenuity.com/Case-Studies/Success-Virtual-Michigan-Research-Brief.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2.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2.png"/><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nuity.com/Case-Studies/Bald-Eagle-HS-PA-Research-Brief.pdf" TargetMode="External"/><Relationship Id="rId24" Type="http://schemas.openxmlformats.org/officeDocument/2006/relationships/hyperlink" Target="https://www.edgenuity.com/Case-Studies/Edgenuity-Utah-Online-case-study.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genuity.com/Case-Studies/Edgenuity-Case-Study-HISD-Leave-Behind-SAFAL.pdf" TargetMode="External"/><Relationship Id="rId23" Type="http://schemas.openxmlformats.org/officeDocument/2006/relationships/chart" Target="charts/chart11.xm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9.xml"/><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chart" Target="charts/chart10.xml"/><Relationship Id="rId27" Type="http://schemas.openxmlformats.org/officeDocument/2006/relationships/image" Target="media/image3.png"/><Relationship Id="rId30" Type="http://schemas.openxmlformats.org/officeDocument/2006/relationships/hyperlink" Target="https://www.edgenuity.com/Case-Studies/Edgenuity-Windsor-CT-Case-Study.pdf" TargetMode="External"/><Relationship Id="rId35" Type="http://schemas.openxmlformats.org/officeDocument/2006/relationships/header" Target="header3.xml"/><Relationship Id="rId8" Type="http://schemas.openxmlformats.org/officeDocument/2006/relationships/chart" Target="charts/chart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lindsay.marczak\OneDrive%20-%20Edgenuity%20Inc\Downloads\VertusHS_Gap_Char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2014</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 Grades (9-11)</c:v>
                </c:pt>
                <c:pt idx="1">
                  <c:v>9th</c:v>
                </c:pt>
                <c:pt idx="2">
                  <c:v>10th</c:v>
                </c:pt>
                <c:pt idx="3">
                  <c:v>11th</c:v>
                </c:pt>
              </c:strCache>
            </c:strRef>
          </c:cat>
          <c:val>
            <c:numRef>
              <c:f>Sheet1!$B$2:$B$5</c:f>
              <c:numCache>
                <c:formatCode>0%</c:formatCode>
                <c:ptCount val="4"/>
                <c:pt idx="0">
                  <c:v>0.12</c:v>
                </c:pt>
                <c:pt idx="1">
                  <c:v>0.1</c:v>
                </c:pt>
                <c:pt idx="2">
                  <c:v>0.05</c:v>
                </c:pt>
                <c:pt idx="3">
                  <c:v>0.25</c:v>
                </c:pt>
              </c:numCache>
            </c:numRef>
          </c:val>
          <c:extLst>
            <c:ext xmlns:c16="http://schemas.microsoft.com/office/drawing/2014/chart" uri="{C3380CC4-5D6E-409C-BE32-E72D297353CC}">
              <c16:uniqueId val="{00000000-41A2-4979-84CE-D6E84EFCBD83}"/>
            </c:ext>
          </c:extLst>
        </c:ser>
        <c:ser>
          <c:idx val="1"/>
          <c:order val="1"/>
          <c:tx>
            <c:strRef>
              <c:f>Sheet1!$C$1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 Grades (9-11)</c:v>
                </c:pt>
                <c:pt idx="1">
                  <c:v>9th</c:v>
                </c:pt>
                <c:pt idx="2">
                  <c:v>10th</c:v>
                </c:pt>
                <c:pt idx="3">
                  <c:v>11th</c:v>
                </c:pt>
              </c:strCache>
            </c:strRef>
          </c:cat>
          <c:val>
            <c:numRef>
              <c:f>Sheet1!$C$2:$C$5</c:f>
              <c:numCache>
                <c:formatCode>0%</c:formatCode>
                <c:ptCount val="4"/>
                <c:pt idx="0">
                  <c:v>0.36</c:v>
                </c:pt>
                <c:pt idx="1">
                  <c:v>0.43</c:v>
                </c:pt>
                <c:pt idx="2">
                  <c:v>0.22</c:v>
                </c:pt>
                <c:pt idx="3">
                  <c:v>0.5</c:v>
                </c:pt>
              </c:numCache>
            </c:numRef>
          </c:val>
          <c:extLst>
            <c:ext xmlns:c16="http://schemas.microsoft.com/office/drawing/2014/chart" uri="{C3380CC4-5D6E-409C-BE32-E72D297353CC}">
              <c16:uniqueId val="{00000001-41A2-4979-84CE-D6E84EFCBD83}"/>
            </c:ext>
          </c:extLst>
        </c:ser>
        <c:ser>
          <c:idx val="2"/>
          <c:order val="2"/>
          <c:tx>
            <c:strRef>
              <c:f>Sheet1!$D$1</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 Grades (9-11)</c:v>
                </c:pt>
                <c:pt idx="1">
                  <c:v>9th</c:v>
                </c:pt>
                <c:pt idx="2">
                  <c:v>10th</c:v>
                </c:pt>
                <c:pt idx="3">
                  <c:v>11th</c:v>
                </c:pt>
              </c:strCache>
            </c:strRef>
          </c:cat>
          <c:val>
            <c:numRef>
              <c:f>Sheet1!$D$2:$D$5</c:f>
              <c:numCache>
                <c:formatCode>0%</c:formatCode>
                <c:ptCount val="4"/>
                <c:pt idx="0">
                  <c:v>0.37</c:v>
                </c:pt>
                <c:pt idx="1">
                  <c:v>0.35</c:v>
                </c:pt>
                <c:pt idx="2">
                  <c:v>0.33</c:v>
                </c:pt>
                <c:pt idx="3">
                  <c:v>0.45</c:v>
                </c:pt>
              </c:numCache>
            </c:numRef>
          </c:val>
          <c:extLst>
            <c:ext xmlns:c16="http://schemas.microsoft.com/office/drawing/2014/chart" uri="{C3380CC4-5D6E-409C-BE32-E72D297353CC}">
              <c16:uniqueId val="{00000002-41A2-4979-84CE-D6E84EFCBD83}"/>
            </c:ext>
          </c:extLst>
        </c:ser>
        <c:ser>
          <c:idx val="3"/>
          <c:order val="3"/>
          <c:tx>
            <c:strRef>
              <c:f>Sheet1!$E$1</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All Grades (9-11)</c:v>
                </c:pt>
                <c:pt idx="1">
                  <c:v>9th</c:v>
                </c:pt>
                <c:pt idx="2">
                  <c:v>10th</c:v>
                </c:pt>
                <c:pt idx="3">
                  <c:v>11th</c:v>
                </c:pt>
              </c:strCache>
            </c:strRef>
          </c:cat>
          <c:val>
            <c:numRef>
              <c:f>Sheet1!$E$2:$E$5</c:f>
              <c:numCache>
                <c:formatCode>0%</c:formatCode>
                <c:ptCount val="4"/>
                <c:pt idx="0">
                  <c:v>0.47</c:v>
                </c:pt>
                <c:pt idx="1">
                  <c:v>0.49</c:v>
                </c:pt>
                <c:pt idx="2">
                  <c:v>0.49</c:v>
                </c:pt>
                <c:pt idx="3">
                  <c:v>0.49</c:v>
                </c:pt>
              </c:numCache>
            </c:numRef>
          </c:val>
          <c:extLst>
            <c:ext xmlns:c16="http://schemas.microsoft.com/office/drawing/2014/chart" uri="{C3380CC4-5D6E-409C-BE32-E72D297353CC}">
              <c16:uniqueId val="{00000003-41A2-4979-84CE-D6E84EFCBD83}"/>
            </c:ext>
          </c:extLst>
        </c:ser>
        <c:dLbls>
          <c:dLblPos val="outEnd"/>
          <c:showLegendKey val="0"/>
          <c:showVal val="1"/>
          <c:showCatName val="0"/>
          <c:showSerName val="0"/>
          <c:showPercent val="0"/>
          <c:showBubbleSize val="0"/>
        </c:dLbls>
        <c:gapWidth val="100"/>
        <c:overlap val="-15"/>
        <c:axId val="2144895384"/>
        <c:axId val="2082130120"/>
      </c:barChart>
      <c:catAx>
        <c:axId val="2144895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82130120"/>
        <c:crosses val="autoZero"/>
        <c:auto val="1"/>
        <c:lblAlgn val="ctr"/>
        <c:lblOffset val="100"/>
        <c:noMultiLvlLbl val="0"/>
      </c:catAx>
      <c:valAx>
        <c:axId val="2082130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Percent of Studnets At</a:t>
                </a:r>
                <a:r>
                  <a:rPr lang="en-US" baseline="0"/>
                  <a:t> or Above Proficiency</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8953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Fall 2014</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Reading
(N=32)</c:v>
                </c:pt>
                <c:pt idx="1">
                  <c:v>Language
(N=75)</c:v>
                </c:pt>
                <c:pt idx="2">
                  <c:v>Math
(N=61)</c:v>
                </c:pt>
              </c:strCache>
            </c:strRef>
          </c:cat>
          <c:val>
            <c:numRef>
              <c:f>Sheet1!$B$2:$B$4</c:f>
              <c:numCache>
                <c:formatCode>_(* #,##0.0_);_(* \(#,##0.0\);_(* "-"??_);_(@_)</c:formatCode>
                <c:ptCount val="3"/>
                <c:pt idx="0">
                  <c:v>220.2</c:v>
                </c:pt>
                <c:pt idx="1">
                  <c:v>221</c:v>
                </c:pt>
                <c:pt idx="2">
                  <c:v>228.1</c:v>
                </c:pt>
              </c:numCache>
            </c:numRef>
          </c:val>
          <c:extLst>
            <c:ext xmlns:c16="http://schemas.microsoft.com/office/drawing/2014/chart" uri="{C3380CC4-5D6E-409C-BE32-E72D297353CC}">
              <c16:uniqueId val="{00000000-38DC-4E3D-9F64-950F57FEED56}"/>
            </c:ext>
          </c:extLst>
        </c:ser>
        <c:ser>
          <c:idx val="1"/>
          <c:order val="1"/>
          <c:tx>
            <c:strRef>
              <c:f>Sheet1!$C$1</c:f>
              <c:strCache>
                <c:ptCount val="1"/>
                <c:pt idx="0">
                  <c:v>Spring 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Reading
(N=32)</c:v>
                </c:pt>
                <c:pt idx="1">
                  <c:v>Language
(N=75)</c:v>
                </c:pt>
                <c:pt idx="2">
                  <c:v>Math
(N=61)</c:v>
                </c:pt>
              </c:strCache>
            </c:strRef>
          </c:cat>
          <c:val>
            <c:numRef>
              <c:f>Sheet1!$C$2:$C$4</c:f>
              <c:numCache>
                <c:formatCode>_(* #,##0.0_);_(* \(#,##0.0\);_(* "-"??_);_(@_)</c:formatCode>
                <c:ptCount val="3"/>
                <c:pt idx="0">
                  <c:v>220.9</c:v>
                </c:pt>
                <c:pt idx="1">
                  <c:v>222.6</c:v>
                </c:pt>
                <c:pt idx="2">
                  <c:v>230.7</c:v>
                </c:pt>
              </c:numCache>
            </c:numRef>
          </c:val>
          <c:extLst>
            <c:ext xmlns:c16="http://schemas.microsoft.com/office/drawing/2014/chart" uri="{C3380CC4-5D6E-409C-BE32-E72D297353CC}">
              <c16:uniqueId val="{00000001-38DC-4E3D-9F64-950F57FEED56}"/>
            </c:ext>
          </c:extLst>
        </c:ser>
        <c:dLbls>
          <c:dLblPos val="outEnd"/>
          <c:showLegendKey val="0"/>
          <c:showVal val="1"/>
          <c:showCatName val="0"/>
          <c:showSerName val="0"/>
          <c:showPercent val="0"/>
          <c:showBubbleSize val="0"/>
        </c:dLbls>
        <c:gapWidth val="100"/>
        <c:overlap val="-10"/>
        <c:axId val="2144912792"/>
        <c:axId val="2144925816"/>
      </c:barChart>
      <c:catAx>
        <c:axId val="2144912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925816"/>
        <c:crosses val="autoZero"/>
        <c:auto val="1"/>
        <c:lblAlgn val="ctr"/>
        <c:lblOffset val="100"/>
        <c:noMultiLvlLbl val="0"/>
      </c:catAx>
      <c:valAx>
        <c:axId val="2144925816"/>
        <c:scaling>
          <c:orientation val="minMax"/>
          <c:min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Average RIT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912792"/>
        <c:crosses val="autoZero"/>
        <c:crossBetween val="between"/>
        <c:majorUnit val="1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c:f>
              <c:strCache>
                <c:ptCount val="1"/>
                <c:pt idx="0">
                  <c:v>Series 1</c:v>
                </c:pt>
              </c:strCache>
            </c:strRef>
          </c:tx>
          <c:spPr>
            <a:solidFill>
              <a:schemeClr val="accent1"/>
            </a:solidFill>
            <a:ln>
              <a:noFill/>
            </a:ln>
            <a:effectLst/>
          </c:spPr>
          <c:invertIfNegative val="0"/>
          <c:dPt>
            <c:idx val="0"/>
            <c:invertIfNegative val="0"/>
            <c:bubble3D val="0"/>
            <c:spPr>
              <a:solidFill>
                <a:schemeClr val="tx2"/>
              </a:solidFill>
              <a:ln>
                <a:noFill/>
              </a:ln>
              <a:effectLst/>
            </c:spPr>
            <c:extLst>
              <c:ext xmlns:c16="http://schemas.microsoft.com/office/drawing/2014/chart" uri="{C3380CC4-5D6E-409C-BE32-E72D297353CC}">
                <c16:uniqueId val="{00000003-CD3D-46B7-A57F-B161A5713A44}"/>
              </c:ext>
            </c:extLst>
          </c:dPt>
          <c:dPt>
            <c:idx val="2"/>
            <c:invertIfNegative val="0"/>
            <c:bubble3D val="0"/>
            <c:spPr>
              <a:solidFill>
                <a:schemeClr val="tx2"/>
              </a:solidFill>
              <a:ln>
                <a:noFill/>
              </a:ln>
              <a:effectLst/>
            </c:spPr>
            <c:extLst>
              <c:ext xmlns:c16="http://schemas.microsoft.com/office/drawing/2014/chart" uri="{C3380CC4-5D6E-409C-BE32-E72D297353CC}">
                <c16:uniqueId val="{00000004-CD3D-46B7-A57F-B161A5713A44}"/>
              </c:ext>
            </c:extLst>
          </c:dPt>
          <c:dPt>
            <c:idx val="5"/>
            <c:invertIfNegative val="0"/>
            <c:bubble3D val="0"/>
            <c:spPr>
              <a:solidFill>
                <a:schemeClr val="tx2"/>
              </a:solidFill>
              <a:ln>
                <a:noFill/>
              </a:ln>
              <a:effectLst/>
            </c:spPr>
            <c:extLst>
              <c:ext xmlns:c16="http://schemas.microsoft.com/office/drawing/2014/chart" uri="{C3380CC4-5D6E-409C-BE32-E72D297353CC}">
                <c16:uniqueId val="{00000007-CD3D-46B7-A57F-B161A5713A44}"/>
              </c:ext>
            </c:extLst>
          </c:dPt>
          <c:dPt>
            <c:idx val="7"/>
            <c:invertIfNegative val="0"/>
            <c:bubble3D val="0"/>
            <c:spPr>
              <a:solidFill>
                <a:schemeClr val="tx2"/>
              </a:solidFill>
              <a:ln>
                <a:noFill/>
              </a:ln>
              <a:effectLst/>
            </c:spPr>
            <c:extLst>
              <c:ext xmlns:c16="http://schemas.microsoft.com/office/drawing/2014/chart" uri="{C3380CC4-5D6E-409C-BE32-E72D297353CC}">
                <c16:uniqueId val="{00000008-CD3D-46B7-A57F-B161A5713A4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Sheet1!$A$2:$C$10</c:f>
              <c:multiLvlStrCache>
                <c:ptCount val="9"/>
                <c:lvl>
                  <c:pt idx="0">
                    <c:v>New Mexico</c:v>
                  </c:pt>
                  <c:pt idx="1">
                    <c:v>Taos Academy</c:v>
                  </c:pt>
                  <c:pt idx="2">
                    <c:v>New Mexico</c:v>
                  </c:pt>
                  <c:pt idx="3">
                    <c:v>Taos Academy</c:v>
                  </c:pt>
                  <c:pt idx="5">
                    <c:v>New Mexico</c:v>
                  </c:pt>
                  <c:pt idx="6">
                    <c:v>Taos Academy</c:v>
                  </c:pt>
                  <c:pt idx="7">
                    <c:v>New Mexico</c:v>
                  </c:pt>
                  <c:pt idx="8">
                    <c:v>Taos Academy</c:v>
                  </c:pt>
                </c:lvl>
                <c:lvl>
                  <c:pt idx="0">
                    <c:v>ELA</c:v>
                  </c:pt>
                  <c:pt idx="2">
                    <c:v>Math</c:v>
                  </c:pt>
                  <c:pt idx="4">
                    <c:v> </c:v>
                  </c:pt>
                  <c:pt idx="5">
                    <c:v>7th</c:v>
                  </c:pt>
                  <c:pt idx="7">
                    <c:v>11th</c:v>
                  </c:pt>
                </c:lvl>
                <c:lvl>
                  <c:pt idx="0">
                    <c:v>PARCC</c:v>
                  </c:pt>
                  <c:pt idx="4">
                    <c:v> </c:v>
                  </c:pt>
                  <c:pt idx="5">
                    <c:v>SBA Science</c:v>
                  </c:pt>
                </c:lvl>
              </c:multiLvlStrCache>
            </c:multiLvlStrRef>
          </c:cat>
          <c:val>
            <c:numRef>
              <c:f>Sheet1!$D$2:$D$10</c:f>
              <c:numCache>
                <c:formatCode>General</c:formatCode>
                <c:ptCount val="9"/>
                <c:pt idx="0">
                  <c:v>31</c:v>
                </c:pt>
                <c:pt idx="1">
                  <c:v>59</c:v>
                </c:pt>
                <c:pt idx="2">
                  <c:v>22</c:v>
                </c:pt>
                <c:pt idx="3">
                  <c:v>36</c:v>
                </c:pt>
                <c:pt idx="5">
                  <c:v>42</c:v>
                </c:pt>
                <c:pt idx="6">
                  <c:v>71</c:v>
                </c:pt>
                <c:pt idx="7">
                  <c:v>35</c:v>
                </c:pt>
                <c:pt idx="8">
                  <c:v>79</c:v>
                </c:pt>
              </c:numCache>
            </c:numRef>
          </c:val>
          <c:extLst>
            <c:ext xmlns:c16="http://schemas.microsoft.com/office/drawing/2014/chart" uri="{C3380CC4-5D6E-409C-BE32-E72D297353CC}">
              <c16:uniqueId val="{00000000-CD3D-46B7-A57F-B161A5713A44}"/>
            </c:ext>
          </c:extLst>
        </c:ser>
        <c:dLbls>
          <c:showLegendKey val="0"/>
          <c:showVal val="0"/>
          <c:showCatName val="0"/>
          <c:showSerName val="0"/>
          <c:showPercent val="0"/>
          <c:showBubbleSize val="0"/>
        </c:dLbls>
        <c:gapWidth val="75"/>
        <c:overlap val="-27"/>
        <c:axId val="2144854424"/>
        <c:axId val="2144857912"/>
      </c:barChart>
      <c:catAx>
        <c:axId val="2144854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857912"/>
        <c:crosses val="autoZero"/>
        <c:auto val="1"/>
        <c:lblAlgn val="ctr"/>
        <c:lblOffset val="100"/>
        <c:noMultiLvlLbl val="0"/>
      </c:catAx>
      <c:valAx>
        <c:axId val="2144857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Percentage of Students Achieving Proficiency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854424"/>
        <c:crosses val="autoZero"/>
        <c:crossBetween val="between"/>
        <c:majorUnit val="1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Graduation</c:v>
                </c:pt>
              </c:strCache>
            </c:strRef>
          </c:tx>
          <c:spPr>
            <a:solidFill>
              <a:schemeClr val="tx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2012</c:v>
                </c:pt>
                <c:pt idx="1">
                  <c:v>2014</c:v>
                </c:pt>
              </c:numCache>
            </c:numRef>
          </c:cat>
          <c:val>
            <c:numRef>
              <c:f>Sheet1!$B$2:$B$3</c:f>
              <c:numCache>
                <c:formatCode>_(* #,##0.0_);_(* \(#,##0.0\);_(* "-"??_);_(@_)</c:formatCode>
                <c:ptCount val="2"/>
                <c:pt idx="0">
                  <c:v>0.76</c:v>
                </c:pt>
                <c:pt idx="1">
                  <c:v>0.88</c:v>
                </c:pt>
              </c:numCache>
            </c:numRef>
          </c:val>
          <c:extLst>
            <c:ext xmlns:c16="http://schemas.microsoft.com/office/drawing/2014/chart" uri="{C3380CC4-5D6E-409C-BE32-E72D297353CC}">
              <c16:uniqueId val="{00000000-3441-4B58-9E3E-FD90EE5A2B75}"/>
            </c:ext>
          </c:extLst>
        </c:ser>
        <c:dLbls>
          <c:dLblPos val="outEnd"/>
          <c:showLegendKey val="0"/>
          <c:showVal val="1"/>
          <c:showCatName val="0"/>
          <c:showSerName val="0"/>
          <c:showPercent val="0"/>
          <c:showBubbleSize val="0"/>
        </c:dLbls>
        <c:gapWidth val="75"/>
        <c:overlap val="-10"/>
        <c:axId val="2144969160"/>
        <c:axId val="2144978936"/>
      </c:barChart>
      <c:catAx>
        <c:axId val="2144969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978936"/>
        <c:crosses val="autoZero"/>
        <c:auto val="1"/>
        <c:lblAlgn val="ctr"/>
        <c:lblOffset val="100"/>
        <c:noMultiLvlLbl val="0"/>
      </c:catAx>
      <c:valAx>
        <c:axId val="214497893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Graduation</a:t>
                </a:r>
                <a:r>
                  <a:rPr lang="en-US" baseline="0"/>
                  <a:t> Rate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969160"/>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034053435628195E-2"/>
          <c:y val="0.111075910433071"/>
          <c:w val="0.90666565717746805"/>
          <c:h val="0.654092665500146"/>
        </c:manualLayout>
      </c:layout>
      <c:barChart>
        <c:barDir val="col"/>
        <c:grouping val="stacked"/>
        <c:varyColors val="0"/>
        <c:ser>
          <c:idx val="2"/>
          <c:order val="2"/>
          <c:tx>
            <c:strRef>
              <c:f>Math_Gr9!$E$9</c:f>
              <c:strCache>
                <c:ptCount val="1"/>
                <c:pt idx="0">
                  <c:v>Start</c:v>
                </c:pt>
              </c:strCache>
            </c:strRef>
          </c:tx>
          <c:spPr>
            <a:noFill/>
            <a:ln>
              <a:noFill/>
            </a:ln>
            <a:effectLst/>
          </c:spPr>
          <c:invertIfNegative val="0"/>
          <c:cat>
            <c:multiLvlStrRef>
              <c:f>Math_Gr9!$A$10:$B$17</c:f>
              <c:multiLvlStrCache>
                <c:ptCount val="8"/>
                <c:lvl>
                  <c:pt idx="0">
                    <c:v>1st Fall Score</c:v>
                  </c:pt>
                  <c:pt idx="1">
                    <c:v>2nd Spring Score</c:v>
                  </c:pt>
                  <c:pt idx="3">
                    <c:v>1st Fall Score</c:v>
                  </c:pt>
                  <c:pt idx="4">
                    <c:v>2nd Spring Score</c:v>
                  </c:pt>
                  <c:pt idx="6">
                    <c:v>1st Fall Score</c:v>
                  </c:pt>
                  <c:pt idx="7">
                    <c:v>2nd Spring Score</c:v>
                  </c:pt>
                </c:lvl>
                <c:lvl>
                  <c:pt idx="0">
                    <c:v>2014–2015
(N=38)</c:v>
                  </c:pt>
                  <c:pt idx="2">
                    <c:v> </c:v>
                  </c:pt>
                  <c:pt idx="3">
                    <c:v>2015–2016
(N=32)</c:v>
                  </c:pt>
                  <c:pt idx="5">
                    <c:v> </c:v>
                  </c:pt>
                  <c:pt idx="6">
                    <c:v>2016–2017
(N=55)</c:v>
                  </c:pt>
                </c:lvl>
              </c:multiLvlStrCache>
            </c:multiLvlStrRef>
          </c:cat>
          <c:val>
            <c:numRef>
              <c:f>Math_Gr9!$E$10:$E$17</c:f>
              <c:numCache>
                <c:formatCode>General</c:formatCode>
                <c:ptCount val="8"/>
                <c:pt idx="0">
                  <c:v>214.34</c:v>
                </c:pt>
                <c:pt idx="1">
                  <c:v>221.18</c:v>
                </c:pt>
                <c:pt idx="3">
                  <c:v>213.59</c:v>
                </c:pt>
                <c:pt idx="4">
                  <c:v>221.18</c:v>
                </c:pt>
                <c:pt idx="6">
                  <c:v>215.53</c:v>
                </c:pt>
                <c:pt idx="7">
                  <c:v>221.18</c:v>
                </c:pt>
              </c:numCache>
            </c:numRef>
          </c:val>
          <c:extLst>
            <c:ext xmlns:c16="http://schemas.microsoft.com/office/drawing/2014/chart" uri="{C3380CC4-5D6E-409C-BE32-E72D297353CC}">
              <c16:uniqueId val="{00000000-94C6-4466-9081-A8A532C00F7B}"/>
            </c:ext>
          </c:extLst>
        </c:ser>
        <c:ser>
          <c:idx val="3"/>
          <c:order val="3"/>
          <c:tx>
            <c:strRef>
              <c:f>Math_Gr9!$F$9</c:f>
              <c:strCache>
                <c:ptCount val="1"/>
                <c:pt idx="0">
                  <c:v>Stop</c:v>
                </c:pt>
              </c:strCache>
            </c:strRef>
          </c:tx>
          <c:spPr>
            <a:solidFill>
              <a:schemeClr val="tx2">
                <a:lumMod val="20000"/>
                <a:lumOff val="80000"/>
              </a:schemeClr>
            </a:solidFill>
            <a:ln>
              <a:noFill/>
            </a:ln>
            <a:effectLst/>
          </c:spPr>
          <c:invertIfNegative val="0"/>
          <c:dLbls>
            <c:dLbl>
              <c:idx val="0"/>
              <c:tx>
                <c:rich>
                  <a:bodyPr/>
                  <a:lstStyle/>
                  <a:p>
                    <a:fld id="{DBB96A47-1F2B-4085-9BC0-59113587D22B}" type="CELLRANGE">
                      <a:rPr lang="en-US"/>
                      <a:pPr/>
                      <a:t>[CELLRANGE]</a:t>
                    </a:fld>
                    <a:endParaRPr lang="en-US" baseline="0"/>
                  </a:p>
                  <a:p>
                    <a:fld id="{439B77B9-F111-47A5-B635-5B3EB145B96B}" type="VALUE">
                      <a:rPr lang="en-US"/>
                      <a:pPr/>
                      <a:t>[VALUE]</a:t>
                    </a:fld>
                    <a:endParaRPr lang="en-US"/>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94C6-4466-9081-A8A532C00F7B}"/>
                </c:ext>
              </c:extLst>
            </c:dLbl>
            <c:dLbl>
              <c:idx val="1"/>
              <c:layout>
                <c:manualLayout>
                  <c:x val="3.8461538461538498E-2"/>
                  <c:y val="0"/>
                </c:manualLayout>
              </c:layout>
              <c:tx>
                <c:rich>
                  <a:bodyPr/>
                  <a:lstStyle/>
                  <a:p>
                    <a:fld id="{B9BE5152-B47A-455B-8CAF-B55F2F7079D8}" type="CELLRANGE">
                      <a:rPr lang="en-US"/>
                      <a:pPr/>
                      <a:t>[CELLRANGE]</a:t>
                    </a:fld>
                    <a:endParaRPr lang="en-US" baseline="0"/>
                  </a:p>
                  <a:p>
                    <a:fld id="{BE447696-26F2-4837-818C-7723E68D4F6F}" type="VALUE">
                      <a:rPr lang="en-US"/>
                      <a:pPr/>
                      <a:t>[VALUE]</a:t>
                    </a:fld>
                    <a:endParaRPr lang="en-US"/>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2-94C6-4466-9081-A8A532C00F7B}"/>
                </c:ext>
              </c:extLst>
            </c:dLbl>
            <c:dLbl>
              <c:idx val="2"/>
              <c:tx>
                <c:rich>
                  <a:bodyPr/>
                  <a:lstStyle/>
                  <a:p>
                    <a:endParaRPr lang="en-US"/>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94C6-4466-9081-A8A532C00F7B}"/>
                </c:ext>
              </c:extLst>
            </c:dLbl>
            <c:dLbl>
              <c:idx val="3"/>
              <c:tx>
                <c:rich>
                  <a:bodyPr/>
                  <a:lstStyle/>
                  <a:p>
                    <a:fld id="{BAA700FE-011D-40A5-AB14-2F5730A2528B}" type="CELLRANGE">
                      <a:rPr lang="en-US"/>
                      <a:pPr/>
                      <a:t>[CELLRANGE]</a:t>
                    </a:fld>
                    <a:endParaRPr lang="en-US" baseline="0"/>
                  </a:p>
                  <a:p>
                    <a:fld id="{9C700301-530A-4198-9F4A-15F22B75BD62}" type="VALUE">
                      <a:rPr lang="en-US"/>
                      <a:pPr/>
                      <a:t>[VALUE]</a:t>
                    </a:fld>
                    <a:endParaRPr lang="en-US"/>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4-94C6-4466-9081-A8A532C00F7B}"/>
                </c:ext>
              </c:extLst>
            </c:dLbl>
            <c:dLbl>
              <c:idx val="4"/>
              <c:layout>
                <c:manualLayout>
                  <c:x val="4.2735042735042701E-2"/>
                  <c:y val="5.5478502080443803E-3"/>
                </c:manualLayout>
              </c:layout>
              <c:tx>
                <c:rich>
                  <a:bodyPr/>
                  <a:lstStyle/>
                  <a:p>
                    <a:fld id="{F42976FC-FF97-4EC0-84A7-824BB234FF0F}" type="CELLRANGE">
                      <a:rPr lang="en-US"/>
                      <a:pPr/>
                      <a:t>[CELLRANGE]</a:t>
                    </a:fld>
                    <a:endParaRPr lang="en-US" baseline="0"/>
                  </a:p>
                  <a:p>
                    <a:fld id="{B47ACAA0-3DA2-4C65-A1EA-5A00FAA895D8}" type="VALUE">
                      <a:rPr lang="en-US"/>
                      <a:pPr/>
                      <a:t>[VALUE]</a:t>
                    </a:fld>
                    <a:endParaRPr lang="en-US"/>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5-94C6-4466-9081-A8A532C00F7B}"/>
                </c:ext>
              </c:extLst>
            </c:dLbl>
            <c:dLbl>
              <c:idx val="5"/>
              <c:tx>
                <c:rich>
                  <a:bodyPr/>
                  <a:lstStyle/>
                  <a:p>
                    <a:endParaRPr lang="en-US"/>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6-94C6-4466-9081-A8A532C00F7B}"/>
                </c:ext>
              </c:extLst>
            </c:dLbl>
            <c:dLbl>
              <c:idx val="6"/>
              <c:tx>
                <c:rich>
                  <a:bodyPr/>
                  <a:lstStyle/>
                  <a:p>
                    <a:fld id="{9C7A2233-5709-4D9B-AF55-06B366BDC497}" type="CELLRANGE">
                      <a:rPr lang="en-US"/>
                      <a:pPr/>
                      <a:t>[CELLRANGE]</a:t>
                    </a:fld>
                    <a:endParaRPr lang="en-US" baseline="0"/>
                  </a:p>
                  <a:p>
                    <a:fld id="{A02E4A4F-EF7C-439B-8BB6-892DF28FAB96}" type="VALUE">
                      <a:rPr lang="en-US"/>
                      <a:pPr/>
                      <a:t>[VALUE]</a:t>
                    </a:fld>
                    <a:endParaRPr lang="en-US"/>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7-94C6-4466-9081-A8A532C00F7B}"/>
                </c:ext>
              </c:extLst>
            </c:dLbl>
            <c:dLbl>
              <c:idx val="7"/>
              <c:layout>
                <c:manualLayout>
                  <c:x val="2.9914529914529898E-2"/>
                  <c:y val="1.1764705882352899E-2"/>
                </c:manualLayout>
              </c:layout>
              <c:tx>
                <c:rich>
                  <a:bodyPr/>
                  <a:lstStyle/>
                  <a:p>
                    <a:fld id="{554F3A90-39CA-490B-9735-C7228CA8C87B}" type="CELLRANGE">
                      <a:rPr lang="en-US"/>
                      <a:pPr/>
                      <a:t>[CELLRANGE]</a:t>
                    </a:fld>
                    <a:endParaRPr lang="en-US" baseline="0"/>
                  </a:p>
                  <a:p>
                    <a:fld id="{5FE0EBC3-F5C1-4EBB-B198-48C7B7E5A816}" type="VALUE">
                      <a:rPr lang="en-US"/>
                      <a:pPr/>
                      <a:t>[VALUE]</a:t>
                    </a:fld>
                    <a:endParaRPr lang="en-US"/>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8-94C6-4466-9081-A8A532C00F7B}"/>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Math_Gr9!$A$10:$B$17</c:f>
              <c:multiLvlStrCache>
                <c:ptCount val="8"/>
                <c:lvl>
                  <c:pt idx="0">
                    <c:v>1st Fall Score</c:v>
                  </c:pt>
                  <c:pt idx="1">
                    <c:v>2nd Spring Score</c:v>
                  </c:pt>
                  <c:pt idx="3">
                    <c:v>1st Fall Score</c:v>
                  </c:pt>
                  <c:pt idx="4">
                    <c:v>2nd Spring Score</c:v>
                  </c:pt>
                  <c:pt idx="6">
                    <c:v>1st Fall Score</c:v>
                  </c:pt>
                  <c:pt idx="7">
                    <c:v>2nd Spring Score</c:v>
                  </c:pt>
                </c:lvl>
                <c:lvl>
                  <c:pt idx="0">
                    <c:v>2014–2015
(N=38)</c:v>
                  </c:pt>
                  <c:pt idx="2">
                    <c:v> </c:v>
                  </c:pt>
                  <c:pt idx="3">
                    <c:v>2015–2016
(N=32)</c:v>
                  </c:pt>
                  <c:pt idx="5">
                    <c:v> </c:v>
                  </c:pt>
                  <c:pt idx="6">
                    <c:v>2016–2017
(N=55)</c:v>
                  </c:pt>
                </c:lvl>
              </c:multiLvlStrCache>
            </c:multiLvlStrRef>
          </c:cat>
          <c:val>
            <c:numRef>
              <c:f>Math_Gr9!$F$10:$F$17</c:f>
              <c:numCache>
                <c:formatCode>General</c:formatCode>
                <c:ptCount val="8"/>
                <c:pt idx="0">
                  <c:v>5.8799999999999963</c:v>
                </c:pt>
                <c:pt idx="1">
                  <c:v>4.5</c:v>
                </c:pt>
                <c:pt idx="3">
                  <c:v>6.6299999999999928</c:v>
                </c:pt>
                <c:pt idx="4">
                  <c:v>1.789999999999992</c:v>
                </c:pt>
                <c:pt idx="6">
                  <c:v>4.6899999999999977</c:v>
                </c:pt>
                <c:pt idx="7">
                  <c:v>2.909999999999997</c:v>
                </c:pt>
              </c:numCache>
            </c:numRef>
          </c:val>
          <c:extLst>
            <c:ext xmlns:c15="http://schemas.microsoft.com/office/drawing/2012/chart" uri="{02D57815-91ED-43cb-92C2-25804820EDAC}">
              <c15:datalabelsRange>
                <c15:f>Math_Gr9!$G$10:$G$17</c15:f>
                <c15:dlblRangeCache>
                  <c:ptCount val="8"/>
                  <c:pt idx="0">
                    <c:v>Below Norm</c:v>
                  </c:pt>
                  <c:pt idx="1">
                    <c:v>Above Norm</c:v>
                  </c:pt>
                  <c:pt idx="3">
                    <c:v>Below Norm</c:v>
                  </c:pt>
                  <c:pt idx="4">
                    <c:v>Above Norm</c:v>
                  </c:pt>
                  <c:pt idx="6">
                    <c:v>Below Norm</c:v>
                  </c:pt>
                  <c:pt idx="7">
                    <c:v>Above Norm</c:v>
                  </c:pt>
                </c15:dlblRangeCache>
              </c15:datalabelsRange>
            </c:ext>
            <c:ext xmlns:c16="http://schemas.microsoft.com/office/drawing/2014/chart" uri="{C3380CC4-5D6E-409C-BE32-E72D297353CC}">
              <c16:uniqueId val="{00000009-94C6-4466-9081-A8A532C00F7B}"/>
            </c:ext>
          </c:extLst>
        </c:ser>
        <c:dLbls>
          <c:showLegendKey val="0"/>
          <c:showVal val="0"/>
          <c:showCatName val="0"/>
          <c:showSerName val="0"/>
          <c:showPercent val="0"/>
          <c:showBubbleSize val="0"/>
        </c:dLbls>
        <c:gapWidth val="500"/>
        <c:overlap val="100"/>
        <c:axId val="2145106504"/>
        <c:axId val="2145110264"/>
      </c:barChart>
      <c:lineChart>
        <c:grouping val="standard"/>
        <c:varyColors val="0"/>
        <c:ser>
          <c:idx val="0"/>
          <c:order val="0"/>
          <c:tx>
            <c:strRef>
              <c:f>Math_Gr9!$C$9</c:f>
              <c:strCache>
                <c:ptCount val="1"/>
                <c:pt idx="0">
                  <c:v>Vertus</c:v>
                </c:pt>
              </c:strCache>
            </c:strRef>
          </c:tx>
          <c:spPr>
            <a:ln w="28575" cap="rnd">
              <a:solidFill>
                <a:schemeClr val="accent4"/>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4C6-4466-9081-A8A532C00F7B}"/>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4C6-4466-9081-A8A532C00F7B}"/>
                </c:ext>
              </c:extLst>
            </c:dLbl>
            <c:dLbl>
              <c:idx val="6"/>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4C6-4466-9081-A8A532C00F7B}"/>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Math_Gr9!$A$10:$B$17</c:f>
              <c:multiLvlStrCache>
                <c:ptCount val="8"/>
                <c:lvl>
                  <c:pt idx="0">
                    <c:v>1st Fall Score</c:v>
                  </c:pt>
                  <c:pt idx="1">
                    <c:v>2nd Spring Score</c:v>
                  </c:pt>
                  <c:pt idx="3">
                    <c:v>1st Fall Score</c:v>
                  </c:pt>
                  <c:pt idx="4">
                    <c:v>2nd Spring Score</c:v>
                  </c:pt>
                  <c:pt idx="6">
                    <c:v>1st Fall Score</c:v>
                  </c:pt>
                  <c:pt idx="7">
                    <c:v>2nd Spring Score</c:v>
                  </c:pt>
                </c:lvl>
                <c:lvl>
                  <c:pt idx="0">
                    <c:v>2014–2015
(N=38)</c:v>
                  </c:pt>
                  <c:pt idx="2">
                    <c:v> </c:v>
                  </c:pt>
                  <c:pt idx="3">
                    <c:v>2015–2016
(N=32)</c:v>
                  </c:pt>
                  <c:pt idx="5">
                    <c:v> </c:v>
                  </c:pt>
                  <c:pt idx="6">
                    <c:v>2016–2017
(N=55)</c:v>
                  </c:pt>
                </c:lvl>
              </c:multiLvlStrCache>
            </c:multiLvlStrRef>
          </c:cat>
          <c:val>
            <c:numRef>
              <c:f>Math_Gr9!$C$10:$C$17</c:f>
              <c:numCache>
                <c:formatCode>General</c:formatCode>
                <c:ptCount val="8"/>
                <c:pt idx="0">
                  <c:v>214.34</c:v>
                </c:pt>
                <c:pt idx="1">
                  <c:v>225.68</c:v>
                </c:pt>
                <c:pt idx="3">
                  <c:v>213.59</c:v>
                </c:pt>
                <c:pt idx="4">
                  <c:v>222.97</c:v>
                </c:pt>
                <c:pt idx="6">
                  <c:v>215.53</c:v>
                </c:pt>
                <c:pt idx="7">
                  <c:v>224.09</c:v>
                </c:pt>
              </c:numCache>
            </c:numRef>
          </c:val>
          <c:smooth val="0"/>
          <c:extLst>
            <c:ext xmlns:c16="http://schemas.microsoft.com/office/drawing/2014/chart" uri="{C3380CC4-5D6E-409C-BE32-E72D297353CC}">
              <c16:uniqueId val="{0000000D-94C6-4466-9081-A8A532C00F7B}"/>
            </c:ext>
          </c:extLst>
        </c:ser>
        <c:ser>
          <c:idx val="1"/>
          <c:order val="1"/>
          <c:tx>
            <c:strRef>
              <c:f>Math_Gr9!$D$9</c:f>
              <c:strCache>
                <c:ptCount val="1"/>
                <c:pt idx="0">
                  <c:v>Norm</c:v>
                </c:pt>
              </c:strCache>
            </c:strRef>
          </c:tx>
          <c:spPr>
            <a:ln w="28575" cap="rnd">
              <a:solidFill>
                <a:schemeClr val="accent2"/>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4C6-4466-9081-A8A532C00F7B}"/>
                </c:ext>
              </c:extLst>
            </c:dLbl>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4C6-4466-9081-A8A532C00F7B}"/>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4C6-4466-9081-A8A532C00F7B}"/>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4C6-4466-9081-A8A532C00F7B}"/>
                </c:ext>
              </c:extLst>
            </c:dLbl>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4C6-4466-9081-A8A532C00F7B}"/>
                </c:ext>
              </c:extLst>
            </c:dLbl>
            <c:dLbl>
              <c:idx val="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4C6-4466-9081-A8A532C00F7B}"/>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Math_Gr9!$A$10:$B$17</c:f>
              <c:multiLvlStrCache>
                <c:ptCount val="8"/>
                <c:lvl>
                  <c:pt idx="0">
                    <c:v>1st Fall Score</c:v>
                  </c:pt>
                  <c:pt idx="1">
                    <c:v>2nd Spring Score</c:v>
                  </c:pt>
                  <c:pt idx="3">
                    <c:v>1st Fall Score</c:v>
                  </c:pt>
                  <c:pt idx="4">
                    <c:v>2nd Spring Score</c:v>
                  </c:pt>
                  <c:pt idx="6">
                    <c:v>1st Fall Score</c:v>
                  </c:pt>
                  <c:pt idx="7">
                    <c:v>2nd Spring Score</c:v>
                  </c:pt>
                </c:lvl>
                <c:lvl>
                  <c:pt idx="0">
                    <c:v>2014–2015
(N=38)</c:v>
                  </c:pt>
                  <c:pt idx="2">
                    <c:v> </c:v>
                  </c:pt>
                  <c:pt idx="3">
                    <c:v>2015–2016
(N=32)</c:v>
                  </c:pt>
                  <c:pt idx="5">
                    <c:v> </c:v>
                  </c:pt>
                  <c:pt idx="6">
                    <c:v>2016–2017
(N=55)</c:v>
                  </c:pt>
                </c:lvl>
              </c:multiLvlStrCache>
            </c:multiLvlStrRef>
          </c:cat>
          <c:val>
            <c:numRef>
              <c:f>Math_Gr9!$D$10:$D$17</c:f>
              <c:numCache>
                <c:formatCode>General</c:formatCode>
                <c:ptCount val="8"/>
                <c:pt idx="0">
                  <c:v>220.22</c:v>
                </c:pt>
                <c:pt idx="1">
                  <c:v>221.18</c:v>
                </c:pt>
                <c:pt idx="3">
                  <c:v>220.22</c:v>
                </c:pt>
                <c:pt idx="4">
                  <c:v>221.18</c:v>
                </c:pt>
                <c:pt idx="6">
                  <c:v>220.22</c:v>
                </c:pt>
                <c:pt idx="7">
                  <c:v>221.18</c:v>
                </c:pt>
              </c:numCache>
            </c:numRef>
          </c:val>
          <c:smooth val="0"/>
          <c:extLst>
            <c:ext xmlns:c16="http://schemas.microsoft.com/office/drawing/2014/chart" uri="{C3380CC4-5D6E-409C-BE32-E72D297353CC}">
              <c16:uniqueId val="{00000014-94C6-4466-9081-A8A532C00F7B}"/>
            </c:ext>
          </c:extLst>
        </c:ser>
        <c:dLbls>
          <c:showLegendKey val="0"/>
          <c:showVal val="0"/>
          <c:showCatName val="0"/>
          <c:showSerName val="0"/>
          <c:showPercent val="0"/>
          <c:showBubbleSize val="0"/>
        </c:dLbls>
        <c:marker val="1"/>
        <c:smooth val="0"/>
        <c:axId val="2145106504"/>
        <c:axId val="2145110264"/>
      </c:lineChart>
      <c:catAx>
        <c:axId val="2145106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145110264"/>
        <c:crosses val="autoZero"/>
        <c:auto val="1"/>
        <c:lblAlgn val="ctr"/>
        <c:lblOffset val="100"/>
        <c:noMultiLvlLbl val="0"/>
      </c:catAx>
      <c:valAx>
        <c:axId val="2145110264"/>
        <c:scaling>
          <c:orientation val="minMax"/>
          <c:min val="2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Overall Math RIT Score</a:t>
                </a:r>
              </a:p>
            </c:rich>
          </c:tx>
          <c:layout>
            <c:manualLayout>
              <c:xMode val="edge"/>
              <c:yMode val="edge"/>
              <c:x val="1.2560401103708201E-2"/>
              <c:y val="0.197846546755185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145106504"/>
        <c:crosses val="autoZero"/>
        <c:crossBetween val="between"/>
        <c:majorUnit val="5"/>
      </c:valAx>
      <c:spPr>
        <a:noFill/>
        <a:ln>
          <a:noFill/>
        </a:ln>
        <a:effectLst/>
      </c:spPr>
    </c:plotArea>
    <c:legend>
      <c:legendPos val="t"/>
      <c:legendEntry>
        <c:idx val="0"/>
        <c:delete val="1"/>
      </c:legendEntry>
      <c:legendEntry>
        <c:idx val="1"/>
        <c:delete val="1"/>
      </c:legendEntry>
      <c:layout>
        <c:manualLayout>
          <c:xMode val="edge"/>
          <c:yMode val="edge"/>
          <c:x val="0.39058314826031398"/>
          <c:y val="2.94308426290464E-2"/>
          <c:w val="0.218833703479373"/>
          <c:h val="5.388945499459629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Narrow" panose="020B060602020203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c:f>
              <c:strCache>
                <c:ptCount val="1"/>
                <c:pt idx="0">
                  <c:v>State</c:v>
                </c:pt>
              </c:strCache>
            </c:strRef>
          </c:tx>
          <c:spPr>
            <a:solidFill>
              <a:schemeClr val="tx2"/>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2-3CA5-457F-AEA2-046C9390B816}"/>
              </c:ext>
            </c:extLst>
          </c:dPt>
          <c:dPt>
            <c:idx val="3"/>
            <c:invertIfNegative val="0"/>
            <c:bubble3D val="0"/>
            <c:spPr>
              <a:solidFill>
                <a:schemeClr val="tx2"/>
              </a:solidFill>
              <a:ln>
                <a:noFill/>
              </a:ln>
              <a:effectLst/>
            </c:spPr>
            <c:extLst>
              <c:ext xmlns:c16="http://schemas.microsoft.com/office/drawing/2014/chart" uri="{C3380CC4-5D6E-409C-BE32-E72D297353CC}">
                <c16:uniqueId val="{00000003-3CA5-457F-AEA2-046C9390B816}"/>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4-00C0-4F95-9FC5-27660C544C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Sheet1!$A$2:$B$6</c:f>
              <c:multiLvlStrCache>
                <c:ptCount val="5"/>
                <c:lvl>
                  <c:pt idx="0">
                    <c:v>2015
(N=80)</c:v>
                  </c:pt>
                  <c:pt idx="1">
                    <c:v>2017
(N=35)</c:v>
                  </c:pt>
                  <c:pt idx="2">
                    <c:v> </c:v>
                  </c:pt>
                  <c:pt idx="3">
                    <c:v>2015
(N=75,869)</c:v>
                  </c:pt>
                  <c:pt idx="4">
                    <c:v>2017
(N=73,697)</c:v>
                  </c:pt>
                </c:lvl>
                <c:lvl>
                  <c:pt idx="0">
                    <c:v>Village Green Students</c:v>
                  </c:pt>
                  <c:pt idx="2">
                    <c:v> </c:v>
                  </c:pt>
                  <c:pt idx="3">
                    <c:v>Statewide</c:v>
                  </c:pt>
                </c:lvl>
              </c:multiLvlStrCache>
            </c:multiLvlStrRef>
          </c:cat>
          <c:val>
            <c:numRef>
              <c:f>Sheet1!$C$2:$C$6</c:f>
              <c:numCache>
                <c:formatCode>0%</c:formatCode>
                <c:ptCount val="5"/>
                <c:pt idx="0">
                  <c:v>0.16</c:v>
                </c:pt>
                <c:pt idx="1">
                  <c:v>0.4</c:v>
                </c:pt>
                <c:pt idx="3">
                  <c:v>0.36</c:v>
                </c:pt>
                <c:pt idx="4">
                  <c:v>0.39</c:v>
                </c:pt>
              </c:numCache>
            </c:numRef>
          </c:val>
          <c:extLst>
            <c:ext xmlns:c16="http://schemas.microsoft.com/office/drawing/2014/chart" uri="{C3380CC4-5D6E-409C-BE32-E72D297353CC}">
              <c16:uniqueId val="{00000000-3CA5-457F-AEA2-046C9390B816}"/>
            </c:ext>
          </c:extLst>
        </c:ser>
        <c:dLbls>
          <c:dLblPos val="outEnd"/>
          <c:showLegendKey val="0"/>
          <c:showVal val="1"/>
          <c:showCatName val="0"/>
          <c:showSerName val="0"/>
          <c:showPercent val="0"/>
          <c:showBubbleSize val="0"/>
        </c:dLbls>
        <c:gapWidth val="50"/>
        <c:overlap val="-10"/>
        <c:axId val="2145121624"/>
        <c:axId val="2145134232"/>
      </c:barChart>
      <c:catAx>
        <c:axId val="2145121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5134232"/>
        <c:crosses val="autoZero"/>
        <c:auto val="1"/>
        <c:lblAlgn val="ctr"/>
        <c:lblOffset val="100"/>
        <c:noMultiLvlLbl val="0"/>
      </c:catAx>
      <c:valAx>
        <c:axId val="2145134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Percent of Students Achieving Proficiency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5121624"/>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Graduation</c:v>
                </c:pt>
              </c:strCache>
            </c:strRef>
          </c:tx>
          <c:spPr>
            <a:solidFill>
              <a:schemeClr val="tx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2014</c:v>
                </c:pt>
                <c:pt idx="1">
                  <c:v>2015</c:v>
                </c:pt>
              </c:numCache>
            </c:numRef>
          </c:cat>
          <c:val>
            <c:numRef>
              <c:f>Sheet1!$B$2:$B$3</c:f>
              <c:numCache>
                <c:formatCode>_(* #,##0.0_);_(* \(#,##0.0\);_(* "-"??_);_(@_)</c:formatCode>
                <c:ptCount val="2"/>
                <c:pt idx="0">
                  <c:v>0.64</c:v>
                </c:pt>
                <c:pt idx="1">
                  <c:v>0.86</c:v>
                </c:pt>
              </c:numCache>
            </c:numRef>
          </c:val>
          <c:extLst>
            <c:ext xmlns:c16="http://schemas.microsoft.com/office/drawing/2014/chart" uri="{C3380CC4-5D6E-409C-BE32-E72D297353CC}">
              <c16:uniqueId val="{00000000-4B1B-4F2B-9491-225BFE0F9D4D}"/>
            </c:ext>
          </c:extLst>
        </c:ser>
        <c:dLbls>
          <c:dLblPos val="outEnd"/>
          <c:showLegendKey val="0"/>
          <c:showVal val="1"/>
          <c:showCatName val="0"/>
          <c:showSerName val="0"/>
          <c:showPercent val="0"/>
          <c:showBubbleSize val="0"/>
        </c:dLbls>
        <c:gapWidth val="75"/>
        <c:overlap val="-10"/>
        <c:axId val="2145163192"/>
        <c:axId val="2145172888"/>
      </c:barChart>
      <c:catAx>
        <c:axId val="2145163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5172888"/>
        <c:crosses val="autoZero"/>
        <c:auto val="1"/>
        <c:lblAlgn val="ctr"/>
        <c:lblOffset val="100"/>
        <c:noMultiLvlLbl val="0"/>
      </c:catAx>
      <c:valAx>
        <c:axId val="2145172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Graduation</a:t>
                </a:r>
                <a:r>
                  <a:rPr lang="en-US" baseline="0"/>
                  <a:t> Rate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5163192"/>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c:f>
              <c:strCache>
                <c:ptCount val="1"/>
                <c:pt idx="0">
                  <c:v>2009</c:v>
                </c:pt>
              </c:strCache>
            </c:strRef>
          </c:tx>
          <c:spPr>
            <a:solidFill>
              <a:schemeClr val="tx2"/>
            </a:solidFill>
            <a:ln>
              <a:noFill/>
            </a:ln>
            <a:effectLst/>
          </c:spPr>
          <c:invertIfNegative val="0"/>
          <c:dPt>
            <c:idx val="0"/>
            <c:invertIfNegative val="0"/>
            <c:bubble3D val="0"/>
            <c:spPr>
              <a:solidFill>
                <a:schemeClr val="tx2">
                  <a:lumMod val="75000"/>
                </a:schemeClr>
              </a:solidFill>
              <a:ln>
                <a:noFill/>
              </a:ln>
              <a:effectLst/>
            </c:spPr>
            <c:extLst>
              <c:ext xmlns:c16="http://schemas.microsoft.com/office/drawing/2014/chart" uri="{C3380CC4-5D6E-409C-BE32-E72D297353CC}">
                <c16:uniqueId val="{00000005-4613-4A98-8591-FE79927474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Sheet1!$A$2:$B$3</c:f>
              <c:strCache>
                <c:ptCount val="2"/>
                <c:pt idx="0">
                  <c:v>2009</c:v>
                </c:pt>
                <c:pt idx="1">
                  <c:v>2010</c:v>
                </c:pt>
              </c:strCache>
            </c:strRef>
          </c:cat>
          <c:val>
            <c:numRef>
              <c:f>Sheet1!$C$2:$C$3</c:f>
              <c:numCache>
                <c:formatCode>0%</c:formatCode>
                <c:ptCount val="2"/>
                <c:pt idx="0">
                  <c:v>0.16</c:v>
                </c:pt>
                <c:pt idx="1">
                  <c:v>0.46</c:v>
                </c:pt>
              </c:numCache>
            </c:numRef>
          </c:val>
          <c:extLst>
            <c:ext xmlns:c16="http://schemas.microsoft.com/office/drawing/2014/chart" uri="{C3380CC4-5D6E-409C-BE32-E72D297353CC}">
              <c16:uniqueId val="{00000000-4613-4A98-8591-FE7992747426}"/>
            </c:ext>
          </c:extLst>
        </c:ser>
        <c:dLbls>
          <c:dLblPos val="outEnd"/>
          <c:showLegendKey val="0"/>
          <c:showVal val="1"/>
          <c:showCatName val="0"/>
          <c:showSerName val="0"/>
          <c:showPercent val="0"/>
          <c:showBubbleSize val="0"/>
        </c:dLbls>
        <c:gapWidth val="100"/>
        <c:overlap val="-10"/>
        <c:axId val="2144450424"/>
        <c:axId val="2123225272"/>
      </c:barChart>
      <c:catAx>
        <c:axId val="214445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3225272"/>
        <c:crosses val="autoZero"/>
        <c:auto val="1"/>
        <c:lblAlgn val="ctr"/>
        <c:lblOffset val="100"/>
        <c:noMultiLvlLbl val="0"/>
      </c:catAx>
      <c:valAx>
        <c:axId val="2123225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Graduation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450424"/>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c:f>
              <c:strCache>
                <c:ptCount val="1"/>
                <c:pt idx="0">
                  <c:v>2009</c:v>
                </c:pt>
              </c:strCache>
            </c:strRef>
          </c:tx>
          <c:spPr>
            <a:solidFill>
              <a:schemeClr val="accent2">
                <a:lumMod val="75000"/>
              </a:schemeClr>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2-99F8-4438-BB93-BD6356DD4E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Sheet1!$A$2:$B$3</c:f>
              <c:strCache>
                <c:ptCount val="2"/>
                <c:pt idx="0">
                  <c:v>2009</c:v>
                </c:pt>
                <c:pt idx="1">
                  <c:v>2010</c:v>
                </c:pt>
              </c:strCache>
            </c:strRef>
          </c:cat>
          <c:val>
            <c:numRef>
              <c:f>Sheet1!$C$2:$C$3</c:f>
              <c:numCache>
                <c:formatCode>0%</c:formatCode>
                <c:ptCount val="2"/>
                <c:pt idx="0">
                  <c:v>0.14000000000000001</c:v>
                </c:pt>
                <c:pt idx="1">
                  <c:v>0.09</c:v>
                </c:pt>
              </c:numCache>
            </c:numRef>
          </c:val>
          <c:extLst>
            <c:ext xmlns:c16="http://schemas.microsoft.com/office/drawing/2014/chart" uri="{C3380CC4-5D6E-409C-BE32-E72D297353CC}">
              <c16:uniqueId val="{00000000-99F8-4438-BB93-BD6356DD4E15}"/>
            </c:ext>
          </c:extLst>
        </c:ser>
        <c:dLbls>
          <c:dLblPos val="outEnd"/>
          <c:showLegendKey val="0"/>
          <c:showVal val="1"/>
          <c:showCatName val="0"/>
          <c:showSerName val="0"/>
          <c:showPercent val="0"/>
          <c:showBubbleSize val="0"/>
        </c:dLbls>
        <c:gapWidth val="100"/>
        <c:overlap val="-10"/>
        <c:axId val="2123021176"/>
        <c:axId val="2144466840"/>
      </c:barChart>
      <c:catAx>
        <c:axId val="2123021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466840"/>
        <c:crosses val="autoZero"/>
        <c:auto val="1"/>
        <c:lblAlgn val="ctr"/>
        <c:lblOffset val="100"/>
        <c:noMultiLvlLbl val="0"/>
      </c:catAx>
      <c:valAx>
        <c:axId val="2144466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Droput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3021176"/>
        <c:crosses val="autoZero"/>
        <c:crossBetween val="between"/>
        <c:majorUnit val="0.0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Spring 2015</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Module 1</c:v>
                </c:pt>
                <c:pt idx="1">
                  <c:v>Module 2</c:v>
                </c:pt>
              </c:strCache>
            </c:strRef>
          </c:cat>
          <c:val>
            <c:numRef>
              <c:f>Sheet1!$B$2:$B$3</c:f>
              <c:numCache>
                <c:formatCode>_(* #,##0_);_(* \(#,##0\);_(* "-"??_);_(@_)</c:formatCode>
                <c:ptCount val="2"/>
                <c:pt idx="0">
                  <c:v>1471</c:v>
                </c:pt>
                <c:pt idx="1">
                  <c:v>1477</c:v>
                </c:pt>
              </c:numCache>
            </c:numRef>
          </c:val>
          <c:extLst>
            <c:ext xmlns:c16="http://schemas.microsoft.com/office/drawing/2014/chart" uri="{C3380CC4-5D6E-409C-BE32-E72D297353CC}">
              <c16:uniqueId val="{00000000-7668-4B82-ADCF-F1AF49FFB08F}"/>
            </c:ext>
          </c:extLst>
        </c:ser>
        <c:ser>
          <c:idx val="1"/>
          <c:order val="1"/>
          <c:tx>
            <c:strRef>
              <c:f>Sheet1!$C$1</c:f>
              <c:strCache>
                <c:ptCount val="1"/>
                <c:pt idx="0">
                  <c:v>Winter 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Module 1</c:v>
                </c:pt>
                <c:pt idx="1">
                  <c:v>Module 2</c:v>
                </c:pt>
              </c:strCache>
            </c:strRef>
          </c:cat>
          <c:val>
            <c:numRef>
              <c:f>Sheet1!$C$2:$C$3</c:f>
              <c:numCache>
                <c:formatCode>_(* #,##0_);_(* \(#,##0\);_(* "-"??_);_(@_)</c:formatCode>
                <c:ptCount val="2"/>
                <c:pt idx="0">
                  <c:v>1492</c:v>
                </c:pt>
                <c:pt idx="1">
                  <c:v>1481</c:v>
                </c:pt>
              </c:numCache>
            </c:numRef>
          </c:val>
          <c:extLst>
            <c:ext xmlns:c16="http://schemas.microsoft.com/office/drawing/2014/chart" uri="{C3380CC4-5D6E-409C-BE32-E72D297353CC}">
              <c16:uniqueId val="{00000001-7668-4B82-ADCF-F1AF49FFB08F}"/>
            </c:ext>
          </c:extLst>
        </c:ser>
        <c:dLbls>
          <c:dLblPos val="outEnd"/>
          <c:showLegendKey val="0"/>
          <c:showVal val="1"/>
          <c:showCatName val="0"/>
          <c:showSerName val="0"/>
          <c:showPercent val="0"/>
          <c:showBubbleSize val="0"/>
        </c:dLbls>
        <c:gapWidth val="100"/>
        <c:overlap val="-15"/>
        <c:axId val="2123003720"/>
        <c:axId val="2144469320"/>
      </c:barChart>
      <c:catAx>
        <c:axId val="2123003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469320"/>
        <c:crosses val="autoZero"/>
        <c:auto val="1"/>
        <c:lblAlgn val="ctr"/>
        <c:lblOffset val="100"/>
        <c:noMultiLvlLbl val="0"/>
      </c:catAx>
      <c:valAx>
        <c:axId val="2144469320"/>
        <c:scaling>
          <c:orientation val="minMax"/>
          <c:max val="1500"/>
          <c:min val="1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3003720"/>
        <c:crosses val="autoZero"/>
        <c:crossBetween val="between"/>
        <c:majorUnit val="2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Grad</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2009</c:v>
                </c:pt>
                <c:pt idx="1">
                  <c:v>2014</c:v>
                </c:pt>
              </c:numCache>
            </c:numRef>
          </c:cat>
          <c:val>
            <c:numRef>
              <c:f>Sheet1!$B$2:$B$3</c:f>
              <c:numCache>
                <c:formatCode>0%</c:formatCode>
                <c:ptCount val="2"/>
                <c:pt idx="0">
                  <c:v>0.21</c:v>
                </c:pt>
                <c:pt idx="1">
                  <c:v>0.8</c:v>
                </c:pt>
              </c:numCache>
            </c:numRef>
          </c:val>
          <c:extLst>
            <c:ext xmlns:c16="http://schemas.microsoft.com/office/drawing/2014/chart" uri="{C3380CC4-5D6E-409C-BE32-E72D297353CC}">
              <c16:uniqueId val="{00000000-6792-4C65-BFDA-38DD0F6AD16C}"/>
            </c:ext>
          </c:extLst>
        </c:ser>
        <c:dLbls>
          <c:showLegendKey val="0"/>
          <c:showVal val="0"/>
          <c:showCatName val="0"/>
          <c:showSerName val="0"/>
          <c:showPercent val="0"/>
          <c:showBubbleSize val="0"/>
        </c:dLbls>
        <c:gapWidth val="75"/>
        <c:overlap val="-10"/>
        <c:axId val="2123173272"/>
        <c:axId val="2123257224"/>
      </c:barChart>
      <c:catAx>
        <c:axId val="212317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3257224"/>
        <c:crosses val="autoZero"/>
        <c:auto val="1"/>
        <c:lblAlgn val="ctr"/>
        <c:lblOffset val="100"/>
        <c:noMultiLvlLbl val="0"/>
      </c:catAx>
      <c:valAx>
        <c:axId val="212325722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Five-Year Graduation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3173272"/>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2014</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Reading</c:v>
                </c:pt>
                <c:pt idx="1">
                  <c:v>Math</c:v>
                </c:pt>
              </c:strCache>
            </c:strRef>
          </c:cat>
          <c:val>
            <c:numRef>
              <c:f>Sheet1!$B$2:$B$3</c:f>
              <c:numCache>
                <c:formatCode>0%</c:formatCode>
                <c:ptCount val="2"/>
                <c:pt idx="0">
                  <c:v>0.18</c:v>
                </c:pt>
                <c:pt idx="1">
                  <c:v>0.18</c:v>
                </c:pt>
              </c:numCache>
            </c:numRef>
          </c:val>
          <c:extLst>
            <c:ext xmlns:c16="http://schemas.microsoft.com/office/drawing/2014/chart" uri="{C3380CC4-5D6E-409C-BE32-E72D297353CC}">
              <c16:uniqueId val="{00000000-4186-4D8F-BA15-AF5796D297F0}"/>
            </c:ext>
          </c:extLst>
        </c:ser>
        <c:ser>
          <c:idx val="1"/>
          <c:order val="1"/>
          <c:tx>
            <c:strRef>
              <c:f>Sheet1!$C$1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Reading</c:v>
                </c:pt>
                <c:pt idx="1">
                  <c:v>Math</c:v>
                </c:pt>
              </c:strCache>
            </c:strRef>
          </c:cat>
          <c:val>
            <c:numRef>
              <c:f>Sheet1!$C$2:$C$3</c:f>
              <c:numCache>
                <c:formatCode>0%</c:formatCode>
                <c:ptCount val="2"/>
                <c:pt idx="0">
                  <c:v>0.34</c:v>
                </c:pt>
                <c:pt idx="1">
                  <c:v>0.24</c:v>
                </c:pt>
              </c:numCache>
            </c:numRef>
          </c:val>
          <c:extLst>
            <c:ext xmlns:c16="http://schemas.microsoft.com/office/drawing/2014/chart" uri="{C3380CC4-5D6E-409C-BE32-E72D297353CC}">
              <c16:uniqueId val="{00000001-4186-4D8F-BA15-AF5796D297F0}"/>
            </c:ext>
          </c:extLst>
        </c:ser>
        <c:dLbls>
          <c:dLblPos val="outEnd"/>
          <c:showLegendKey val="0"/>
          <c:showVal val="1"/>
          <c:showCatName val="0"/>
          <c:showSerName val="0"/>
          <c:showPercent val="0"/>
          <c:showBubbleSize val="0"/>
        </c:dLbls>
        <c:gapWidth val="100"/>
        <c:overlap val="-10"/>
        <c:axId val="2144777304"/>
        <c:axId val="2144780728"/>
      </c:barChart>
      <c:catAx>
        <c:axId val="2144777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780728"/>
        <c:crosses val="autoZero"/>
        <c:auto val="1"/>
        <c:lblAlgn val="ctr"/>
        <c:lblOffset val="100"/>
        <c:noMultiLvlLbl val="0"/>
      </c:catAx>
      <c:valAx>
        <c:axId val="2144780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Percent of Students Achieving Satisfactory or Above on STAAR Assessments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777304"/>
        <c:crosses val="autoZero"/>
        <c:crossBetween val="between"/>
        <c:majorUnit val="0.1"/>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Non-Edgenuity Students</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English Language Arts</c:v>
                </c:pt>
                <c:pt idx="1">
                  <c:v>Mathematics</c:v>
                </c:pt>
                <c:pt idx="2">
                  <c:v>Reading</c:v>
                </c:pt>
                <c:pt idx="3">
                  <c:v>Social Studies</c:v>
                </c:pt>
                <c:pt idx="4">
                  <c:v>Science</c:v>
                </c:pt>
              </c:strCache>
            </c:strRef>
          </c:cat>
          <c:val>
            <c:numRef>
              <c:f>Sheet1!$B$2:$B$6</c:f>
              <c:numCache>
                <c:formatCode>0%</c:formatCode>
                <c:ptCount val="5"/>
                <c:pt idx="0">
                  <c:v>0.97</c:v>
                </c:pt>
                <c:pt idx="1">
                  <c:v>0.89</c:v>
                </c:pt>
                <c:pt idx="2">
                  <c:v>0.97</c:v>
                </c:pt>
                <c:pt idx="3">
                  <c:v>0.87</c:v>
                </c:pt>
                <c:pt idx="4">
                  <c:v>0.86</c:v>
                </c:pt>
              </c:numCache>
            </c:numRef>
          </c:val>
          <c:extLst>
            <c:ext xmlns:c16="http://schemas.microsoft.com/office/drawing/2014/chart" uri="{C3380CC4-5D6E-409C-BE32-E72D297353CC}">
              <c16:uniqueId val="{00000000-8674-445E-B3C0-19725D2BC384}"/>
            </c:ext>
          </c:extLst>
        </c:ser>
        <c:ser>
          <c:idx val="1"/>
          <c:order val="1"/>
          <c:tx>
            <c:strRef>
              <c:f>Sheet1!$C$1</c:f>
              <c:strCache>
                <c:ptCount val="1"/>
                <c:pt idx="0">
                  <c:v>Edgenuity Students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English Language Arts</c:v>
                </c:pt>
                <c:pt idx="1">
                  <c:v>Mathematics</c:v>
                </c:pt>
                <c:pt idx="2">
                  <c:v>Reading</c:v>
                </c:pt>
                <c:pt idx="3">
                  <c:v>Social Studies</c:v>
                </c:pt>
                <c:pt idx="4">
                  <c:v>Science</c:v>
                </c:pt>
              </c:strCache>
            </c:strRef>
          </c:cat>
          <c:val>
            <c:numRef>
              <c:f>Sheet1!$C$2:$C$6</c:f>
              <c:numCache>
                <c:formatCode>0%</c:formatCode>
                <c:ptCount val="5"/>
                <c:pt idx="0">
                  <c:v>0.99</c:v>
                </c:pt>
                <c:pt idx="1">
                  <c:v>0.9</c:v>
                </c:pt>
                <c:pt idx="2">
                  <c:v>0.99</c:v>
                </c:pt>
                <c:pt idx="3">
                  <c:v>0.95</c:v>
                </c:pt>
                <c:pt idx="4">
                  <c:v>0.96</c:v>
                </c:pt>
              </c:numCache>
            </c:numRef>
          </c:val>
          <c:extLst>
            <c:ext xmlns:c16="http://schemas.microsoft.com/office/drawing/2014/chart" uri="{C3380CC4-5D6E-409C-BE32-E72D297353CC}">
              <c16:uniqueId val="{00000001-8674-445E-B3C0-19725D2BC384}"/>
            </c:ext>
          </c:extLst>
        </c:ser>
        <c:dLbls>
          <c:dLblPos val="outEnd"/>
          <c:showLegendKey val="0"/>
          <c:showVal val="1"/>
          <c:showCatName val="0"/>
          <c:showSerName val="0"/>
          <c:showPercent val="0"/>
          <c:showBubbleSize val="0"/>
        </c:dLbls>
        <c:gapWidth val="100"/>
        <c:overlap val="-10"/>
        <c:axId val="2082050968"/>
        <c:axId val="2144483000"/>
      </c:barChart>
      <c:catAx>
        <c:axId val="208205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483000"/>
        <c:crosses val="autoZero"/>
        <c:auto val="1"/>
        <c:lblAlgn val="ctr"/>
        <c:lblOffset val="100"/>
        <c:noMultiLvlLbl val="0"/>
      </c:catAx>
      <c:valAx>
        <c:axId val="2144483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Percent</a:t>
                </a:r>
                <a:r>
                  <a:rPr lang="en-US" baseline="0"/>
                  <a:t> of Students Meeting or Exceeding the Standard on CRCT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820509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2014</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Algebra 1
(N=97)</c:v>
                </c:pt>
                <c:pt idx="1">
                  <c:v>Biology
(N=78)</c:v>
                </c:pt>
              </c:strCache>
            </c:strRef>
          </c:cat>
          <c:val>
            <c:numRef>
              <c:f>Sheet1!$B$2:$B$3</c:f>
              <c:numCache>
                <c:formatCode>_(* #,##0_);_(* \(#,##0\);_(* "-"??_);_(@_)</c:formatCode>
                <c:ptCount val="2"/>
                <c:pt idx="0">
                  <c:v>3273</c:v>
                </c:pt>
                <c:pt idx="1">
                  <c:v>3308</c:v>
                </c:pt>
              </c:numCache>
            </c:numRef>
          </c:val>
          <c:extLst>
            <c:ext xmlns:c16="http://schemas.microsoft.com/office/drawing/2014/chart" uri="{C3380CC4-5D6E-409C-BE32-E72D297353CC}">
              <c16:uniqueId val="{00000000-A03B-4E31-8FBD-9A272B7E328A}"/>
            </c:ext>
          </c:extLst>
        </c:ser>
        <c:ser>
          <c:idx val="1"/>
          <c:order val="1"/>
          <c:tx>
            <c:strRef>
              <c:f>Sheet1!$C$1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Algebra 1
(N=97)</c:v>
                </c:pt>
                <c:pt idx="1">
                  <c:v>Biology
(N=78)</c:v>
                </c:pt>
              </c:strCache>
            </c:strRef>
          </c:cat>
          <c:val>
            <c:numRef>
              <c:f>Sheet1!$C$2:$C$3</c:f>
              <c:numCache>
                <c:formatCode>_(* #,##0_);_(* \(#,##0\);_(* "-"??_);_(@_)</c:formatCode>
                <c:ptCount val="2"/>
                <c:pt idx="0">
                  <c:v>3399</c:v>
                </c:pt>
                <c:pt idx="1">
                  <c:v>3457</c:v>
                </c:pt>
              </c:numCache>
            </c:numRef>
          </c:val>
          <c:extLst>
            <c:ext xmlns:c16="http://schemas.microsoft.com/office/drawing/2014/chart" uri="{C3380CC4-5D6E-409C-BE32-E72D297353CC}">
              <c16:uniqueId val="{00000001-A03B-4E31-8FBD-9A272B7E328A}"/>
            </c:ext>
          </c:extLst>
        </c:ser>
        <c:dLbls>
          <c:dLblPos val="outEnd"/>
          <c:showLegendKey val="0"/>
          <c:showVal val="1"/>
          <c:showCatName val="0"/>
          <c:showSerName val="0"/>
          <c:showPercent val="0"/>
          <c:showBubbleSize val="0"/>
        </c:dLbls>
        <c:gapWidth val="100"/>
        <c:overlap val="-10"/>
        <c:axId val="2144472488"/>
        <c:axId val="2123089272"/>
      </c:barChart>
      <c:catAx>
        <c:axId val="2144472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3089272"/>
        <c:crosses val="autoZero"/>
        <c:auto val="1"/>
        <c:lblAlgn val="ctr"/>
        <c:lblOffset val="100"/>
        <c:noMultiLvlLbl val="0"/>
      </c:catAx>
      <c:valAx>
        <c:axId val="2123089272"/>
        <c:scaling>
          <c:orientation val="minMax"/>
          <c:min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Scale Score</a:t>
                </a:r>
                <a:r>
                  <a:rPr lang="en-US" baseline="0"/>
                  <a:t> on the STAAR EOC</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44472488"/>
        <c:crosses val="autoZero"/>
        <c:crossBetween val="between"/>
        <c:majorUnit val="1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Grad</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2008</c:v>
                </c:pt>
                <c:pt idx="1">
                  <c:v>2015</c:v>
                </c:pt>
              </c:numCache>
            </c:numRef>
          </c:cat>
          <c:val>
            <c:numRef>
              <c:f>Sheet1!$B$2:$B$3</c:f>
              <c:numCache>
                <c:formatCode>0%</c:formatCode>
                <c:ptCount val="2"/>
                <c:pt idx="0">
                  <c:v>0.86</c:v>
                </c:pt>
                <c:pt idx="1">
                  <c:v>0.92600000000000005</c:v>
                </c:pt>
              </c:numCache>
            </c:numRef>
          </c:val>
          <c:extLst>
            <c:ext xmlns:c16="http://schemas.microsoft.com/office/drawing/2014/chart" uri="{C3380CC4-5D6E-409C-BE32-E72D297353CC}">
              <c16:uniqueId val="{00000000-7943-45E7-8722-00B13A34B44B}"/>
            </c:ext>
          </c:extLst>
        </c:ser>
        <c:dLbls>
          <c:showLegendKey val="0"/>
          <c:showVal val="0"/>
          <c:showCatName val="0"/>
          <c:showSerName val="0"/>
          <c:showPercent val="0"/>
          <c:showBubbleSize val="0"/>
        </c:dLbls>
        <c:gapWidth val="75"/>
        <c:overlap val="-10"/>
        <c:axId val="2123019448"/>
        <c:axId val="2123345560"/>
      </c:barChart>
      <c:catAx>
        <c:axId val="212301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3345560"/>
        <c:crosses val="autoZero"/>
        <c:auto val="1"/>
        <c:lblAlgn val="ctr"/>
        <c:lblOffset val="100"/>
        <c:noMultiLvlLbl val="0"/>
      </c:catAx>
      <c:valAx>
        <c:axId val="212334556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Four-Year Graduation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3019448"/>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dgenuity">
      <a:dk1>
        <a:sysClr val="windowText" lastClr="000000"/>
      </a:dk1>
      <a:lt1>
        <a:sysClr val="window" lastClr="FFFFFF"/>
      </a:lt1>
      <a:dk2>
        <a:srgbClr val="2E3192"/>
      </a:dk2>
      <a:lt2>
        <a:srgbClr val="6E7075"/>
      </a:lt2>
      <a:accent1>
        <a:srgbClr val="F4473C"/>
      </a:accent1>
      <a:accent2>
        <a:srgbClr val="47A5C9"/>
      </a:accent2>
      <a:accent3>
        <a:srgbClr val="349591"/>
      </a:accent3>
      <a:accent4>
        <a:srgbClr val="327788"/>
      </a:accent4>
      <a:accent5>
        <a:srgbClr val="F78D26"/>
      </a:accent5>
      <a:accent6>
        <a:srgbClr val="FDBC16"/>
      </a:accent6>
      <a:hlink>
        <a:srgbClr val="47A5C9"/>
      </a:hlink>
      <a:folHlink>
        <a:srgbClr val="EEECE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A1C1733-F7A2-4C3A-9863-A5775013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3804</Words>
  <Characters>21684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Kelley Ring</dc:creator>
  <cp:lastModifiedBy>Amelia Malone</cp:lastModifiedBy>
  <cp:revision>7</cp:revision>
  <dcterms:created xsi:type="dcterms:W3CDTF">2019-09-12T17:37:00Z</dcterms:created>
  <dcterms:modified xsi:type="dcterms:W3CDTF">2021-09-14T18:50:00Z</dcterms:modified>
</cp:coreProperties>
</file>